
<file path=[Content_Types].xml><?xml version="1.0" encoding="utf-8"?>
<Types xmlns="http://schemas.openxmlformats.org/package/2006/content-types">
  <Default Extension="xml" ContentType="application/xml"/>
  <Default Extension="jpeg" ContentType="image/jpe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bookmarkStart w:id="91" w:name="_GoBack"/>
      <w:bookmarkEnd w:id="91"/>
    </w:p>
    <w:p>
      <w:pPr>
        <w:spacing w:before="312" w:beforeLines="100" w:line="180" w:lineRule="atLeast"/>
        <w:rPr>
          <w:b/>
          <w:bCs/>
          <w:sz w:val="72"/>
          <w:szCs w:val="72"/>
        </w:rPr>
      </w:pPr>
      <w:r>
        <w:rPr>
          <w:rFonts w:hint="eastAsia"/>
          <w:b/>
          <w:bCs/>
          <w:sz w:val="72"/>
          <w:szCs w:val="72"/>
        </w:rPr>
        <w:t>建筑采光分析报告书</w:t>
      </w:r>
    </w:p>
    <w:p>
      <w:pPr>
        <w:spacing w:before="156" w:beforeLines="50" w:after="312" w:afterLines="100"/>
        <w:rPr>
          <w:sz w:val="36"/>
          <w:szCs w:val="36"/>
          <w:lang w:val="en-US"/>
        </w:rPr>
      </w:pPr>
      <w:r>
        <w:rPr>
          <w:rFonts w:hint="eastAsia"/>
          <w:sz w:val="36"/>
          <w:szCs w:val="36"/>
          <w:lang w:val="en-US"/>
        </w:rPr>
        <w:t>住宅建筑</w:t>
      </w:r>
    </w:p>
    <w:p>
      <w:pPr>
        <w:spacing w:line="180" w:lineRule="atLeast"/>
        <w:rPr>
          <w:rFonts w:ascii="宋体" w:hAnsi="宋体"/>
          <w:b/>
          <w:bCs/>
          <w:sz w:val="21"/>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r>
              <w:t>南昌大学休闲学生公寓改造</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r>
              <w:t>南昌大学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r>
              <w:t>南昌大学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2021年1月6日</w:t>
            </w:r>
            <w:bookmarkEnd w:id="6"/>
          </w:p>
        </w:tc>
      </w:tr>
    </w:tbl>
    <w:p>
      <w:pPr>
        <w:spacing w:line="240" w:lineRule="auto"/>
        <w:rPr>
          <w:rFonts w:ascii="宋体" w:hAnsi="宋体"/>
          <w:b/>
          <w:bCs/>
          <w:sz w:val="30"/>
          <w:szCs w:val="32"/>
        </w:rPr>
      </w:pPr>
    </w:p>
    <w:p>
      <w:pPr>
        <w:spacing w:line="240" w:lineRule="auto"/>
        <w:rPr>
          <w:rFonts w:ascii="宋体" w:hAnsi="宋体"/>
          <w:b/>
          <w:bCs/>
          <w:sz w:val="30"/>
          <w:szCs w:val="32"/>
        </w:rPr>
      </w:pPr>
      <w:bookmarkStart w:id="7" w:name="二维码"/>
      <w:bookmarkEnd w:id="7"/>
      <w:r>
        <w:drawing>
          <wp:inline distT="0" distB="0" distL="0" distR="0">
            <wp:extent cx="2324100" cy="23241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pPr>
        <w:spacing w:line="240" w:lineRule="auto"/>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rPr>
                <w:highlight w:val="yellow"/>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exact"/>
        </w:trPr>
        <w:tc>
          <w:tcPr>
            <w:tcW w:w="1800" w:type="dxa"/>
            <w:shd w:val="clear" w:color="auto" w:fill="E6E6E6"/>
            <w:vAlign w:val="center"/>
          </w:tcPr>
          <w:p>
            <w:pPr>
              <w:pStyle w:val="3"/>
            </w:pPr>
            <w:r>
              <w:rPr>
                <w:rFonts w:hint="eastAsia"/>
              </w:rPr>
              <w:t>软件版本</w:t>
            </w:r>
          </w:p>
        </w:tc>
        <w:tc>
          <w:tcPr>
            <w:tcW w:w="3780" w:type="dxa"/>
            <w:vAlign w:val="center"/>
          </w:tcPr>
          <w:p>
            <w:pPr>
              <w:pStyle w:val="3"/>
              <w:jc w:val="center"/>
              <w:rPr>
                <w:highlight w:val="yellow"/>
              </w:rPr>
            </w:pPr>
            <w:bookmarkStart w:id="9" w:name="软件版本"/>
            <w:r>
              <w:t>20200808(SP1)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1800" w:type="dxa"/>
            <w:shd w:val="clear" w:color="auto" w:fill="E6E6E6"/>
            <w:vAlign w:val="center"/>
          </w:tcPr>
          <w:p>
            <w:pPr>
              <w:pStyle w:val="3"/>
            </w:pPr>
            <w:r>
              <w:rPr>
                <w:rFonts w:hint="eastAsia"/>
              </w:rPr>
              <w:t>研发单位</w:t>
            </w:r>
          </w:p>
        </w:tc>
        <w:tc>
          <w:tcPr>
            <w:tcW w:w="3780" w:type="dxa"/>
            <w:vAlign w:val="center"/>
          </w:tcPr>
          <w:p>
            <w:pPr>
              <w:pStyle w:val="3"/>
              <w:jc w:val="center"/>
              <w:rPr>
                <w:highlight w:val="yellow"/>
              </w:rPr>
            </w:pPr>
            <w:r>
              <w:rPr>
                <w:rFonts w:hint="eastAsia"/>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1800" w:type="dxa"/>
            <w:shd w:val="clear" w:color="auto" w:fill="E6E6E6"/>
            <w:vAlign w:val="center"/>
          </w:tcPr>
          <w:p>
            <w:pPr>
              <w:pStyle w:val="3"/>
            </w:pPr>
            <w:r>
              <w:rPr>
                <w:rFonts w:hint="eastAsia"/>
              </w:rPr>
              <w:t>正版授权码</w:t>
            </w:r>
          </w:p>
        </w:tc>
        <w:tc>
          <w:tcPr>
            <w:tcW w:w="3780" w:type="dxa"/>
            <w:shd w:val="clear" w:color="auto" w:fill="auto"/>
            <w:vAlign w:val="center"/>
          </w:tcPr>
          <w:p>
            <w:pPr>
              <w:pStyle w:val="3"/>
              <w:jc w:val="center"/>
              <w:rPr>
                <w:highlight w:val="yellow"/>
              </w:rPr>
            </w:pPr>
            <w:bookmarkStart w:id="10" w:name="正版授权码"/>
            <w:r>
              <w:t>T18030952530</w:t>
            </w:r>
            <w:bookmarkEnd w:id="10"/>
          </w:p>
        </w:tc>
      </w:tr>
    </w:tbl>
    <w:p>
      <w:pPr>
        <w:pStyle w:val="2"/>
        <w:numPr>
          <w:ilvl w:val="0"/>
          <w:numId w:val="0"/>
        </w:numPr>
      </w:pPr>
    </w:p>
    <w:p>
      <w:pPr>
        <w:pStyle w:val="3"/>
        <w:ind w:firstLine="420"/>
        <w:rPr>
          <w:lang w:val="en-US"/>
        </w:rPr>
      </w:pPr>
    </w:p>
    <w:p>
      <w:pPr>
        <w:pStyle w:val="3"/>
        <w:ind w:firstLine="420"/>
        <w:rPr>
          <w:lang w:val="en-US"/>
        </w:rPr>
      </w:pPr>
    </w:p>
    <w:p>
      <w:pPr>
        <w:spacing w:line="240" w:lineRule="auto"/>
        <w:rPr>
          <w:sz w:val="21"/>
          <w:szCs w:val="21"/>
          <w:lang w:val="en-US"/>
        </w:rPr>
      </w:pPr>
      <w:r>
        <w:rPr>
          <w:sz w:val="21"/>
          <w:szCs w:val="21"/>
          <w:lang w:val="en-US"/>
        </w:rPr>
        <w:br w:type="page"/>
      </w:r>
    </w:p>
    <w:p>
      <w:pPr>
        <w:spacing w:line="240" w:lineRule="auto"/>
        <w:rPr>
          <w:lang w:val="en-US"/>
        </w:rPr>
      </w:pPr>
    </w:p>
    <w:p>
      <w:pPr>
        <w:spacing w:line="240" w:lineRule="auto"/>
        <w:rPr>
          <w:lang w:val="en-US"/>
        </w:rPr>
      </w:pPr>
      <w:bookmarkStart w:id="11" w:name="目录"/>
    </w:p>
    <w:sdt>
      <w:sdtPr>
        <w:rPr>
          <w:rFonts w:ascii="Times New Roman" w:hAnsi="Times New Roman" w:eastAsia="宋体" w:cs="Times New Roman"/>
          <w:color w:val="auto"/>
          <w:sz w:val="18"/>
          <w:szCs w:val="20"/>
          <w:lang w:val="en-GB"/>
        </w:rPr>
        <w:id w:val="780454735"/>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9"/>
            <w:jc w:val="center"/>
            <w:rPr>
              <w:rFonts w:ascii="微软雅黑" w:hAnsi="微软雅黑" w:eastAsia="微软雅黑"/>
              <w:b/>
              <w:bCs/>
              <w:color w:val="auto"/>
            </w:rPr>
          </w:pPr>
          <w:r>
            <w:rPr>
              <w:rFonts w:ascii="微软雅黑" w:hAnsi="微软雅黑" w:eastAsia="微软雅黑"/>
              <w:b/>
              <w:bCs/>
              <w:color w:val="auto"/>
            </w:rPr>
            <w:t>目录</w:t>
          </w:r>
        </w:p>
        <w:p>
          <w:pPr>
            <w:pStyle w:val="17"/>
            <w:tabs>
              <w:tab w:val="right" w:leader="dot" w:pos="9070"/>
              <w:tab w:val="clear" w:pos="180"/>
              <w:tab w:val="clear" w:pos="420"/>
              <w:tab w:val="clear" w:pos="9360"/>
            </w:tabs>
          </w:pPr>
          <w:r>
            <w:rPr>
              <w:b w:val="0"/>
              <w:bCs w:val="0"/>
            </w:rPr>
            <w:fldChar w:fldCharType="begin"/>
          </w:r>
          <w:r>
            <w:rPr>
              <w:b w:val="0"/>
              <w:bCs w:val="0"/>
            </w:rPr>
            <w:instrText xml:space="preserve"> TOC \o "1-3" \h \z \u </w:instrText>
          </w:r>
          <w:r>
            <w:rPr>
              <w:b w:val="0"/>
              <w:bCs w:val="0"/>
            </w:rPr>
            <w:fldChar w:fldCharType="separate"/>
          </w:r>
          <w:r>
            <w:rPr>
              <w:bCs w:val="0"/>
            </w:rPr>
            <w:fldChar w:fldCharType="begin"/>
          </w:r>
          <w:r>
            <w:rPr>
              <w:bCs w:val="0"/>
            </w:rPr>
            <w:instrText xml:space="preserve"> HYPERLINK \l _Toc25804 </w:instrText>
          </w:r>
          <w:r>
            <w:rPr>
              <w:bCs w:val="0"/>
            </w:rPr>
            <w:fldChar w:fldCharType="separate"/>
          </w:r>
          <w:r>
            <w:rPr>
              <w:rFonts w:hint="eastAsia"/>
            </w:rPr>
            <w:t>1. 建筑概况</w:t>
          </w:r>
          <w:r>
            <w:tab/>
          </w:r>
          <w:r>
            <w:fldChar w:fldCharType="begin"/>
          </w:r>
          <w:r>
            <w:instrText xml:space="preserve"> PAGEREF _Toc25804 </w:instrText>
          </w:r>
          <w:r>
            <w:fldChar w:fldCharType="separate"/>
          </w:r>
          <w:r>
            <w:t>3</w:t>
          </w:r>
          <w:r>
            <w:fldChar w:fldCharType="end"/>
          </w:r>
          <w:r>
            <w:rPr>
              <w:bCs w:val="0"/>
            </w:rPr>
            <w:fldChar w:fldCharType="end"/>
          </w:r>
        </w:p>
        <w:p>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_Toc9436 </w:instrText>
          </w:r>
          <w:r>
            <w:rPr>
              <w:bCs/>
              <w:kern w:val="2"/>
              <w:szCs w:val="24"/>
              <w:lang w:val="en-US"/>
            </w:rPr>
            <w:fldChar w:fldCharType="separate"/>
          </w:r>
          <w:r>
            <w:rPr>
              <w:rFonts w:hint="eastAsia"/>
            </w:rPr>
            <w:t>2. 设计依据</w:t>
          </w:r>
          <w:r>
            <w:tab/>
          </w:r>
          <w:r>
            <w:fldChar w:fldCharType="begin"/>
          </w:r>
          <w:r>
            <w:instrText xml:space="preserve"> PAGEREF _Toc9436 </w:instrText>
          </w:r>
          <w:r>
            <w:fldChar w:fldCharType="separate"/>
          </w:r>
          <w:r>
            <w:t>3</w:t>
          </w:r>
          <w:r>
            <w:fldChar w:fldCharType="end"/>
          </w:r>
          <w:r>
            <w:rPr>
              <w:bCs/>
              <w:kern w:val="2"/>
              <w:szCs w:val="24"/>
              <w:lang w:val="en-US"/>
            </w:rPr>
            <w:fldChar w:fldCharType="end"/>
          </w:r>
        </w:p>
        <w:p>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_Toc8588 </w:instrText>
          </w:r>
          <w:r>
            <w:rPr>
              <w:bCs/>
              <w:kern w:val="2"/>
              <w:szCs w:val="24"/>
              <w:lang w:val="en-US"/>
            </w:rPr>
            <w:fldChar w:fldCharType="separate"/>
          </w:r>
          <w:r>
            <w:rPr>
              <w:rFonts w:hint="eastAsia"/>
            </w:rPr>
            <w:t>3. 计算</w:t>
          </w:r>
          <w:r>
            <w:t>目的</w:t>
          </w:r>
          <w:r>
            <w:tab/>
          </w:r>
          <w:r>
            <w:fldChar w:fldCharType="begin"/>
          </w:r>
          <w:r>
            <w:instrText xml:space="preserve"> PAGEREF _Toc8588 </w:instrText>
          </w:r>
          <w:r>
            <w:fldChar w:fldCharType="separate"/>
          </w:r>
          <w:r>
            <w:t>3</w:t>
          </w:r>
          <w:r>
            <w:fldChar w:fldCharType="end"/>
          </w:r>
          <w:r>
            <w:rPr>
              <w:bCs/>
              <w:kern w:val="2"/>
              <w:szCs w:val="24"/>
              <w:lang w:val="en-US"/>
            </w:rPr>
            <w:fldChar w:fldCharType="end"/>
          </w:r>
        </w:p>
        <w:p>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_Toc13197 </w:instrText>
          </w:r>
          <w:r>
            <w:rPr>
              <w:bCs/>
              <w:kern w:val="2"/>
              <w:szCs w:val="24"/>
              <w:lang w:val="en-US"/>
            </w:rPr>
            <w:fldChar w:fldCharType="separate"/>
          </w:r>
          <w:r>
            <w:rPr>
              <w:rFonts w:hint="eastAsia"/>
            </w:rPr>
            <w:t>4. 标准要求</w:t>
          </w:r>
          <w:r>
            <w:tab/>
          </w:r>
          <w:r>
            <w:fldChar w:fldCharType="begin"/>
          </w:r>
          <w:r>
            <w:instrText xml:space="preserve"> PAGEREF _Toc13197 </w:instrText>
          </w:r>
          <w:r>
            <w:fldChar w:fldCharType="separate"/>
          </w:r>
          <w:r>
            <w:t>3</w:t>
          </w:r>
          <w:r>
            <w:fldChar w:fldCharType="end"/>
          </w:r>
          <w:r>
            <w:rPr>
              <w:bCs/>
              <w:kern w:val="2"/>
              <w:szCs w:val="24"/>
              <w:lang w:val="en-US"/>
            </w:rPr>
            <w:fldChar w:fldCharType="end"/>
          </w:r>
        </w:p>
        <w:p>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_Toc26955 </w:instrText>
          </w:r>
          <w:r>
            <w:rPr>
              <w:bCs/>
              <w:kern w:val="2"/>
              <w:szCs w:val="24"/>
              <w:lang w:val="en-US"/>
            </w:rPr>
            <w:fldChar w:fldCharType="separate"/>
          </w:r>
          <w:r>
            <w:rPr>
              <w:rFonts w:hint="eastAsia"/>
            </w:rPr>
            <w:t>5. 采光分析</w:t>
          </w:r>
          <w:r>
            <w:t>概述</w:t>
          </w:r>
          <w:r>
            <w:tab/>
          </w:r>
          <w:r>
            <w:fldChar w:fldCharType="begin"/>
          </w:r>
          <w:r>
            <w:instrText xml:space="preserve"> PAGEREF _Toc26955 </w:instrText>
          </w:r>
          <w:r>
            <w:fldChar w:fldCharType="separate"/>
          </w:r>
          <w:r>
            <w:t>4</w:t>
          </w:r>
          <w:r>
            <w:fldChar w:fldCharType="end"/>
          </w:r>
          <w:r>
            <w:rPr>
              <w:bCs/>
              <w:kern w:val="2"/>
              <w:szCs w:val="24"/>
              <w:lang w:val="en-US"/>
            </w:rPr>
            <w:fldChar w:fldCharType="end"/>
          </w:r>
        </w:p>
        <w:p>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_Toc14595 </w:instrText>
          </w:r>
          <w:r>
            <w:rPr>
              <w:bCs/>
              <w:kern w:val="2"/>
              <w:szCs w:val="24"/>
              <w:lang w:val="en-US"/>
            </w:rPr>
            <w:fldChar w:fldCharType="separate"/>
          </w:r>
          <w:r>
            <w:rPr>
              <w:rFonts w:hint="eastAsia"/>
              <w:lang w:val="en-GB"/>
            </w:rPr>
            <w:t xml:space="preserve">5.1 </w:t>
          </w:r>
          <w:r>
            <w:rPr>
              <w:rFonts w:hint="eastAsia"/>
            </w:rPr>
            <w:t>基本原理</w:t>
          </w:r>
          <w:r>
            <w:tab/>
          </w:r>
          <w:r>
            <w:fldChar w:fldCharType="begin"/>
          </w:r>
          <w:r>
            <w:instrText xml:space="preserve"> PAGEREF _Toc14595 </w:instrText>
          </w:r>
          <w:r>
            <w:fldChar w:fldCharType="separate"/>
          </w:r>
          <w:r>
            <w:t>4</w:t>
          </w:r>
          <w:r>
            <w:fldChar w:fldCharType="end"/>
          </w:r>
          <w:r>
            <w:rPr>
              <w:bCs/>
              <w:kern w:val="2"/>
              <w:szCs w:val="24"/>
              <w:lang w:val="en-US"/>
            </w:rPr>
            <w:fldChar w:fldCharType="end"/>
          </w:r>
        </w:p>
        <w:p>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_Toc6772 </w:instrText>
          </w:r>
          <w:r>
            <w:rPr>
              <w:bCs/>
              <w:kern w:val="2"/>
              <w:szCs w:val="24"/>
              <w:lang w:val="en-US"/>
            </w:rPr>
            <w:fldChar w:fldCharType="separate"/>
          </w:r>
          <w:r>
            <w:rPr>
              <w:rFonts w:hint="eastAsia"/>
              <w:lang w:val="en-GB"/>
            </w:rPr>
            <w:t xml:space="preserve">5.2 </w:t>
          </w:r>
          <w:r>
            <w:t>分析软件</w:t>
          </w:r>
          <w:r>
            <w:tab/>
          </w:r>
          <w:r>
            <w:fldChar w:fldCharType="begin"/>
          </w:r>
          <w:r>
            <w:instrText xml:space="preserve"> PAGEREF _Toc6772 </w:instrText>
          </w:r>
          <w:r>
            <w:fldChar w:fldCharType="separate"/>
          </w:r>
          <w:r>
            <w:t>5</w:t>
          </w:r>
          <w:r>
            <w:fldChar w:fldCharType="end"/>
          </w:r>
          <w:r>
            <w:rPr>
              <w:bCs/>
              <w:kern w:val="2"/>
              <w:szCs w:val="24"/>
              <w:lang w:val="en-US"/>
            </w:rPr>
            <w:fldChar w:fldCharType="end"/>
          </w:r>
        </w:p>
        <w:p>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_Toc23043 </w:instrText>
          </w:r>
          <w:r>
            <w:rPr>
              <w:bCs/>
              <w:kern w:val="2"/>
              <w:szCs w:val="24"/>
              <w:lang w:val="en-US"/>
            </w:rPr>
            <w:fldChar w:fldCharType="separate"/>
          </w:r>
          <w:r>
            <w:rPr>
              <w:rFonts w:hint="eastAsia"/>
              <w:lang w:val="en-GB"/>
            </w:rPr>
            <w:t xml:space="preserve">5.3 </w:t>
          </w:r>
          <w:r>
            <w:rPr>
              <w:rFonts w:hint="eastAsia"/>
            </w:rPr>
            <w:t>计算方法</w:t>
          </w:r>
          <w:r>
            <w:tab/>
          </w:r>
          <w:r>
            <w:fldChar w:fldCharType="begin"/>
          </w:r>
          <w:r>
            <w:instrText xml:space="preserve"> PAGEREF _Toc23043 </w:instrText>
          </w:r>
          <w:r>
            <w:fldChar w:fldCharType="separate"/>
          </w:r>
          <w:r>
            <w:t>5</w:t>
          </w:r>
          <w:r>
            <w:fldChar w:fldCharType="end"/>
          </w:r>
          <w:r>
            <w:rPr>
              <w:bCs/>
              <w:kern w:val="2"/>
              <w:szCs w:val="24"/>
              <w:lang w:val="en-US"/>
            </w:rPr>
            <w:fldChar w:fldCharType="end"/>
          </w:r>
        </w:p>
        <w:p>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_Toc11933 </w:instrText>
          </w:r>
          <w:r>
            <w:rPr>
              <w:bCs/>
              <w:kern w:val="2"/>
              <w:szCs w:val="24"/>
              <w:lang w:val="en-US"/>
            </w:rPr>
            <w:fldChar w:fldCharType="separate"/>
          </w:r>
          <w:r>
            <w:rPr>
              <w:rFonts w:hint="eastAsia"/>
            </w:rPr>
            <w:t>6. 采光计算</w:t>
          </w:r>
          <w:r>
            <w:t>参数</w:t>
          </w:r>
          <w:r>
            <w:rPr>
              <w:rFonts w:hint="eastAsia"/>
            </w:rPr>
            <w:t>取值</w:t>
          </w:r>
          <w:r>
            <w:tab/>
          </w:r>
          <w:r>
            <w:fldChar w:fldCharType="begin"/>
          </w:r>
          <w:r>
            <w:instrText xml:space="preserve"> PAGEREF _Toc11933 </w:instrText>
          </w:r>
          <w:r>
            <w:fldChar w:fldCharType="separate"/>
          </w:r>
          <w:r>
            <w:t>6</w:t>
          </w:r>
          <w:r>
            <w:fldChar w:fldCharType="end"/>
          </w:r>
          <w:r>
            <w:rPr>
              <w:bCs/>
              <w:kern w:val="2"/>
              <w:szCs w:val="24"/>
              <w:lang w:val="en-US"/>
            </w:rPr>
            <w:fldChar w:fldCharType="end"/>
          </w:r>
        </w:p>
        <w:p>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_Toc31275 </w:instrText>
          </w:r>
          <w:r>
            <w:rPr>
              <w:bCs/>
              <w:kern w:val="2"/>
              <w:szCs w:val="24"/>
              <w:lang w:val="en-US"/>
            </w:rPr>
            <w:fldChar w:fldCharType="separate"/>
          </w:r>
          <w:r>
            <w:rPr>
              <w:rFonts w:hint="eastAsia"/>
              <w:lang w:val="en-GB"/>
            </w:rPr>
            <w:t xml:space="preserve">6.1 </w:t>
          </w:r>
          <w:r>
            <w:t>模拟</w:t>
          </w:r>
          <w:r>
            <w:rPr>
              <w:rFonts w:hint="eastAsia"/>
            </w:rPr>
            <w:t>分析条件说明</w:t>
          </w:r>
          <w:r>
            <w:tab/>
          </w:r>
          <w:r>
            <w:fldChar w:fldCharType="begin"/>
          </w:r>
          <w:r>
            <w:instrText xml:space="preserve"> PAGEREF _Toc31275 </w:instrText>
          </w:r>
          <w:r>
            <w:fldChar w:fldCharType="separate"/>
          </w:r>
          <w:r>
            <w:t>6</w:t>
          </w:r>
          <w:r>
            <w:fldChar w:fldCharType="end"/>
          </w:r>
          <w:r>
            <w:rPr>
              <w:bCs/>
              <w:kern w:val="2"/>
              <w:szCs w:val="24"/>
              <w:lang w:val="en-US"/>
            </w:rPr>
            <w:fldChar w:fldCharType="end"/>
          </w:r>
        </w:p>
        <w:p>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_Toc29152 </w:instrText>
          </w:r>
          <w:r>
            <w:rPr>
              <w:bCs/>
              <w:kern w:val="2"/>
              <w:szCs w:val="24"/>
              <w:lang w:val="en-US"/>
            </w:rPr>
            <w:fldChar w:fldCharType="separate"/>
          </w:r>
          <w:r>
            <w:rPr>
              <w:rFonts w:hint="eastAsia"/>
              <w:lang w:val="en-GB"/>
            </w:rPr>
            <w:t xml:space="preserve">6.2 </w:t>
          </w:r>
          <w:r>
            <w:rPr>
              <w:rFonts w:hint="eastAsia"/>
            </w:rPr>
            <w:t>建筑饰面材料参数</w:t>
          </w:r>
          <w:r>
            <w:tab/>
          </w:r>
          <w:r>
            <w:fldChar w:fldCharType="begin"/>
          </w:r>
          <w:r>
            <w:instrText xml:space="preserve"> PAGEREF _Toc29152 </w:instrText>
          </w:r>
          <w:r>
            <w:fldChar w:fldCharType="separate"/>
          </w:r>
          <w:r>
            <w:t>6</w:t>
          </w:r>
          <w:r>
            <w:fldChar w:fldCharType="end"/>
          </w:r>
          <w:r>
            <w:rPr>
              <w:bCs/>
              <w:kern w:val="2"/>
              <w:szCs w:val="24"/>
              <w:lang w:val="en-US"/>
            </w:rPr>
            <w:fldChar w:fldCharType="end"/>
          </w:r>
        </w:p>
        <w:p>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_Toc6228 </w:instrText>
          </w:r>
          <w:r>
            <w:rPr>
              <w:bCs/>
              <w:kern w:val="2"/>
              <w:szCs w:val="24"/>
              <w:lang w:val="en-US"/>
            </w:rPr>
            <w:fldChar w:fldCharType="separate"/>
          </w:r>
          <w:r>
            <w:rPr>
              <w:rFonts w:hint="eastAsia"/>
              <w:lang w:val="en-GB"/>
            </w:rPr>
            <w:t xml:space="preserve">6.3 </w:t>
          </w:r>
          <w:r>
            <w:rPr>
              <w:rFonts w:hint="eastAsia"/>
            </w:rPr>
            <w:t>门窗类型参数</w:t>
          </w:r>
          <w:r>
            <w:tab/>
          </w:r>
          <w:r>
            <w:fldChar w:fldCharType="begin"/>
          </w:r>
          <w:r>
            <w:instrText xml:space="preserve"> PAGEREF _Toc6228 </w:instrText>
          </w:r>
          <w:r>
            <w:fldChar w:fldCharType="separate"/>
          </w:r>
          <w:r>
            <w:t>7</w:t>
          </w:r>
          <w:r>
            <w:fldChar w:fldCharType="end"/>
          </w:r>
          <w:r>
            <w:rPr>
              <w:bCs/>
              <w:kern w:val="2"/>
              <w:szCs w:val="24"/>
              <w:lang w:val="en-US"/>
            </w:rPr>
            <w:fldChar w:fldCharType="end"/>
          </w:r>
        </w:p>
        <w:p>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_Toc26161 </w:instrText>
          </w:r>
          <w:r>
            <w:rPr>
              <w:bCs/>
              <w:kern w:val="2"/>
              <w:szCs w:val="24"/>
              <w:lang w:val="en-US"/>
            </w:rPr>
            <w:fldChar w:fldCharType="separate"/>
          </w:r>
          <w:r>
            <w:rPr>
              <w:rFonts w:hint="eastAsia" w:eastAsia="宋体"/>
              <w:szCs w:val="24"/>
              <w:lang w:val="en-GB"/>
            </w:rPr>
            <w:t xml:space="preserve">6.3.1 </w:t>
          </w:r>
          <w:r>
            <w:rPr>
              <w:rFonts w:hint="eastAsia"/>
            </w:rPr>
            <w:t>透光门</w:t>
          </w:r>
          <w:r>
            <w:tab/>
          </w:r>
          <w:r>
            <w:fldChar w:fldCharType="begin"/>
          </w:r>
          <w:r>
            <w:instrText xml:space="preserve"> PAGEREF _Toc26161 </w:instrText>
          </w:r>
          <w:r>
            <w:fldChar w:fldCharType="separate"/>
          </w:r>
          <w:r>
            <w:t>7</w:t>
          </w:r>
          <w:r>
            <w:fldChar w:fldCharType="end"/>
          </w:r>
          <w:r>
            <w:rPr>
              <w:bCs/>
              <w:kern w:val="2"/>
              <w:szCs w:val="24"/>
              <w:lang w:val="en-US"/>
            </w:rPr>
            <w:fldChar w:fldCharType="end"/>
          </w:r>
        </w:p>
        <w:p>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_Toc15130 </w:instrText>
          </w:r>
          <w:r>
            <w:rPr>
              <w:bCs/>
              <w:kern w:val="2"/>
              <w:szCs w:val="24"/>
              <w:lang w:val="en-US"/>
            </w:rPr>
            <w:fldChar w:fldCharType="separate"/>
          </w:r>
          <w:r>
            <w:rPr>
              <w:rFonts w:hint="eastAsia" w:eastAsia="宋体"/>
              <w:szCs w:val="24"/>
              <w:lang w:val="en-GB"/>
            </w:rPr>
            <w:t xml:space="preserve">6.3.2 </w:t>
          </w:r>
          <w:r>
            <w:rPr>
              <w:rFonts w:hint="eastAsia"/>
            </w:rPr>
            <w:t>普通窗</w:t>
          </w:r>
          <w:r>
            <w:tab/>
          </w:r>
          <w:r>
            <w:fldChar w:fldCharType="begin"/>
          </w:r>
          <w:r>
            <w:instrText xml:space="preserve"> PAGEREF _Toc15130 </w:instrText>
          </w:r>
          <w:r>
            <w:fldChar w:fldCharType="separate"/>
          </w:r>
          <w:r>
            <w:t>7</w:t>
          </w:r>
          <w:r>
            <w:fldChar w:fldCharType="end"/>
          </w:r>
          <w:r>
            <w:rPr>
              <w:bCs/>
              <w:kern w:val="2"/>
              <w:szCs w:val="24"/>
              <w:lang w:val="en-US"/>
            </w:rPr>
            <w:fldChar w:fldCharType="end"/>
          </w:r>
        </w:p>
        <w:p>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_Toc14929 </w:instrText>
          </w:r>
          <w:r>
            <w:rPr>
              <w:bCs/>
              <w:kern w:val="2"/>
              <w:szCs w:val="24"/>
              <w:lang w:val="en-US"/>
            </w:rPr>
            <w:fldChar w:fldCharType="separate"/>
          </w:r>
          <w:r>
            <w:rPr>
              <w:rFonts w:hint="eastAsia" w:eastAsia="宋体"/>
              <w:szCs w:val="24"/>
              <w:lang w:val="en-GB"/>
            </w:rPr>
            <w:t xml:space="preserve">6.3.3 </w:t>
          </w:r>
          <w:r>
            <w:rPr>
              <w:rFonts w:hint="eastAsia"/>
            </w:rPr>
            <w:t>玻璃幕墙</w:t>
          </w:r>
          <w:r>
            <w:tab/>
          </w:r>
          <w:r>
            <w:fldChar w:fldCharType="begin"/>
          </w:r>
          <w:r>
            <w:instrText xml:space="preserve"> PAGEREF _Toc14929 </w:instrText>
          </w:r>
          <w:r>
            <w:fldChar w:fldCharType="separate"/>
          </w:r>
          <w:r>
            <w:t>7</w:t>
          </w:r>
          <w:r>
            <w:fldChar w:fldCharType="end"/>
          </w:r>
          <w:r>
            <w:rPr>
              <w:bCs/>
              <w:kern w:val="2"/>
              <w:szCs w:val="24"/>
              <w:lang w:val="en-US"/>
            </w:rPr>
            <w:fldChar w:fldCharType="end"/>
          </w:r>
        </w:p>
        <w:p>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_Toc22151 </w:instrText>
          </w:r>
          <w:r>
            <w:rPr>
              <w:bCs/>
              <w:kern w:val="2"/>
              <w:szCs w:val="24"/>
              <w:lang w:val="en-US"/>
            </w:rPr>
            <w:fldChar w:fldCharType="separate"/>
          </w:r>
          <w:r>
            <w:rPr>
              <w:rFonts w:hint="eastAsia"/>
            </w:rPr>
            <w:t>7. 房间模拟</w:t>
          </w:r>
          <w:r>
            <w:t>结果</w:t>
          </w:r>
          <w:r>
            <w:tab/>
          </w:r>
          <w:r>
            <w:fldChar w:fldCharType="begin"/>
          </w:r>
          <w:r>
            <w:instrText xml:space="preserve"> PAGEREF _Toc22151 </w:instrText>
          </w:r>
          <w:r>
            <w:fldChar w:fldCharType="separate"/>
          </w:r>
          <w:r>
            <w:t>8</w:t>
          </w:r>
          <w:r>
            <w:fldChar w:fldCharType="end"/>
          </w:r>
          <w:r>
            <w:rPr>
              <w:bCs/>
              <w:kern w:val="2"/>
              <w:szCs w:val="24"/>
              <w:lang w:val="en-US"/>
            </w:rPr>
            <w:fldChar w:fldCharType="end"/>
          </w:r>
        </w:p>
        <w:p>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_Toc14656 </w:instrText>
          </w:r>
          <w:r>
            <w:rPr>
              <w:bCs/>
              <w:kern w:val="2"/>
              <w:szCs w:val="24"/>
              <w:lang w:val="en-US"/>
            </w:rPr>
            <w:fldChar w:fldCharType="separate"/>
          </w:r>
          <w:r>
            <w:rPr>
              <w:rFonts w:hint="eastAsia"/>
              <w:lang w:val="en-GB"/>
            </w:rPr>
            <w:t xml:space="preserve">7.1 </w:t>
          </w:r>
          <w:r>
            <w:rPr>
              <w:rFonts w:hint="eastAsia"/>
            </w:rPr>
            <w:t>房间采光系数</w:t>
          </w:r>
          <w:r>
            <w:tab/>
          </w:r>
          <w:r>
            <w:fldChar w:fldCharType="begin"/>
          </w:r>
          <w:r>
            <w:instrText xml:space="preserve"> PAGEREF _Toc14656 </w:instrText>
          </w:r>
          <w:r>
            <w:fldChar w:fldCharType="separate"/>
          </w:r>
          <w:r>
            <w:t>8</w:t>
          </w:r>
          <w:r>
            <w:fldChar w:fldCharType="end"/>
          </w:r>
          <w:r>
            <w:rPr>
              <w:bCs/>
              <w:kern w:val="2"/>
              <w:szCs w:val="24"/>
              <w:lang w:val="en-US"/>
            </w:rPr>
            <w:fldChar w:fldCharType="end"/>
          </w:r>
        </w:p>
        <w:p>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_Toc7223 </w:instrText>
          </w:r>
          <w:r>
            <w:rPr>
              <w:bCs/>
              <w:kern w:val="2"/>
              <w:szCs w:val="24"/>
              <w:lang w:val="en-US"/>
            </w:rPr>
            <w:fldChar w:fldCharType="separate"/>
          </w:r>
          <w:r>
            <w:rPr>
              <w:rFonts w:hint="eastAsia"/>
              <w:lang w:val="en-GB"/>
            </w:rPr>
            <w:t xml:space="preserve">7.2 </w:t>
          </w:r>
          <w:r>
            <w:rPr>
              <w:rFonts w:hint="eastAsia"/>
            </w:rPr>
            <w:t>户型统计结果</w:t>
          </w:r>
          <w:r>
            <w:tab/>
          </w:r>
          <w:r>
            <w:fldChar w:fldCharType="begin"/>
          </w:r>
          <w:r>
            <w:instrText xml:space="preserve"> PAGEREF _Toc7223 </w:instrText>
          </w:r>
          <w:r>
            <w:fldChar w:fldCharType="separate"/>
          </w:r>
          <w:r>
            <w:t>24</w:t>
          </w:r>
          <w:r>
            <w:fldChar w:fldCharType="end"/>
          </w:r>
          <w:r>
            <w:rPr>
              <w:bCs/>
              <w:kern w:val="2"/>
              <w:szCs w:val="24"/>
              <w:lang w:val="en-US"/>
            </w:rPr>
            <w:fldChar w:fldCharType="end"/>
          </w:r>
        </w:p>
        <w:p>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_Toc32351 </w:instrText>
          </w:r>
          <w:r>
            <w:rPr>
              <w:bCs/>
              <w:kern w:val="2"/>
              <w:szCs w:val="24"/>
              <w:lang w:val="en-US"/>
            </w:rPr>
            <w:fldChar w:fldCharType="separate"/>
          </w:r>
          <w:r>
            <w:rPr>
              <w:rFonts w:hint="eastAsia"/>
            </w:rPr>
            <w:t>8. 采光</w:t>
          </w:r>
          <w:r>
            <w:t>效果分析</w:t>
          </w:r>
          <w:r>
            <w:rPr>
              <w:rFonts w:hint="eastAsia"/>
            </w:rPr>
            <w:t>彩图</w:t>
          </w:r>
          <w:r>
            <w:tab/>
          </w:r>
          <w:r>
            <w:fldChar w:fldCharType="begin"/>
          </w:r>
          <w:r>
            <w:instrText xml:space="preserve"> PAGEREF _Toc32351 </w:instrText>
          </w:r>
          <w:r>
            <w:fldChar w:fldCharType="separate"/>
          </w:r>
          <w:r>
            <w:t>24</w:t>
          </w:r>
          <w:r>
            <w:fldChar w:fldCharType="end"/>
          </w:r>
          <w:r>
            <w:rPr>
              <w:bCs/>
              <w:kern w:val="2"/>
              <w:szCs w:val="24"/>
              <w:lang w:val="en-US"/>
            </w:rPr>
            <w:fldChar w:fldCharType="end"/>
          </w:r>
        </w:p>
        <w:p>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_Toc29035 </w:instrText>
          </w:r>
          <w:r>
            <w:rPr>
              <w:bCs/>
              <w:kern w:val="2"/>
              <w:szCs w:val="24"/>
              <w:lang w:val="en-US"/>
            </w:rPr>
            <w:fldChar w:fldCharType="separate"/>
          </w:r>
          <w:r>
            <w:rPr>
              <w:rFonts w:hint="eastAsia"/>
            </w:rPr>
            <w:t>9. 结论</w:t>
          </w:r>
          <w:r>
            <w:tab/>
          </w:r>
          <w:r>
            <w:fldChar w:fldCharType="begin"/>
          </w:r>
          <w:r>
            <w:instrText xml:space="preserve"> PAGEREF _Toc29035 </w:instrText>
          </w:r>
          <w:r>
            <w:fldChar w:fldCharType="separate"/>
          </w:r>
          <w:r>
            <w:t>25</w:t>
          </w:r>
          <w:r>
            <w:fldChar w:fldCharType="end"/>
          </w:r>
          <w:r>
            <w:rPr>
              <w:bCs/>
              <w:kern w:val="2"/>
              <w:szCs w:val="24"/>
              <w:lang w:val="en-US"/>
            </w:rPr>
            <w:fldChar w:fldCharType="end"/>
          </w:r>
        </w:p>
        <w:p>
          <w:r>
            <w:rPr>
              <w:bCs/>
              <w:kern w:val="2"/>
              <w:szCs w:val="24"/>
              <w:lang w:val="en-US"/>
            </w:rPr>
            <w:fldChar w:fldCharType="end"/>
          </w:r>
        </w:p>
      </w:sdtContent>
    </w:sdt>
    <w:p>
      <w:pPr>
        <w:spacing w:line="240" w:lineRule="auto"/>
        <w:rPr>
          <w:lang w:val="en-US"/>
        </w:rPr>
      </w:pPr>
    </w:p>
    <w:bookmarkEnd w:id="11"/>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pPr>
      <w:bookmarkStart w:id="12" w:name="_Toc25804"/>
      <w:r>
        <w:rPr>
          <w:rFonts w:hint="eastAsia"/>
        </w:rPr>
        <w:t>建筑概况</w:t>
      </w:r>
      <w:bookmarkEnd w:id="12"/>
    </w:p>
    <w:tbl>
      <w:tblPr>
        <w:tblStyle w:val="20"/>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lang w:val="en-US"/>
              </w:rPr>
              <w:t>项目所在地</w:t>
            </w:r>
          </w:p>
        </w:tc>
        <w:tc>
          <w:tcPr>
            <w:tcW w:w="6447" w:type="dxa"/>
            <w:gridSpan w:val="3"/>
            <w:vAlign w:val="center"/>
          </w:tcPr>
          <w:p>
            <w:pPr>
              <w:pStyle w:val="3"/>
              <w:spacing w:line="360" w:lineRule="exact"/>
              <w:rPr>
                <w:lang w:val="en-US"/>
              </w:rPr>
            </w:pPr>
            <w:bookmarkStart w:id="13" w:name="项目地点"/>
            <w:r>
              <w:t>南昌</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lang w:val="en-US"/>
              </w:rPr>
              <w:t>光气候分区</w:t>
            </w:r>
          </w:p>
        </w:tc>
        <w:tc>
          <w:tcPr>
            <w:tcW w:w="2624" w:type="dxa"/>
            <w:vAlign w:val="center"/>
          </w:tcPr>
          <w:p>
            <w:pPr>
              <w:pStyle w:val="3"/>
              <w:spacing w:line="360" w:lineRule="exact"/>
              <w:rPr>
                <w:lang w:val="en-US"/>
              </w:rPr>
            </w:pPr>
            <w:bookmarkStart w:id="14" w:name="光气候分区"/>
            <w:r>
              <w:t>IV</w:t>
            </w:r>
            <w:bookmarkEnd w:id="14"/>
          </w:p>
        </w:tc>
        <w:tc>
          <w:tcPr>
            <w:tcW w:w="1757" w:type="dxa"/>
            <w:shd w:val="clear" w:color="auto" w:fill="E0E0E0"/>
            <w:vAlign w:val="center"/>
          </w:tcPr>
          <w:p>
            <w:pPr>
              <w:pStyle w:val="3"/>
              <w:spacing w:line="360" w:lineRule="exact"/>
              <w:rPr>
                <w:lang w:val="en-US"/>
              </w:rPr>
            </w:pPr>
            <w:r>
              <w:rPr>
                <w:rFonts w:hint="eastAsia"/>
                <w:lang w:val="en-US"/>
              </w:rPr>
              <w:t>光气候系数K</w:t>
            </w:r>
          </w:p>
        </w:tc>
        <w:tc>
          <w:tcPr>
            <w:tcW w:w="2066" w:type="dxa"/>
            <w:vAlign w:val="center"/>
          </w:tcPr>
          <w:p>
            <w:pPr>
              <w:pStyle w:val="3"/>
              <w:spacing w:line="360" w:lineRule="exact"/>
              <w:rPr>
                <w:lang w:val="en-US"/>
              </w:rPr>
            </w:pPr>
            <w:bookmarkStart w:id="15" w:name="光气候系数K"/>
            <w:r>
              <w:t>1.10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lang w:val="en-US"/>
              </w:rPr>
              <w:t>建筑面积</w:t>
            </w:r>
          </w:p>
        </w:tc>
        <w:tc>
          <w:tcPr>
            <w:tcW w:w="6447" w:type="dxa"/>
            <w:gridSpan w:val="3"/>
            <w:vAlign w:val="center"/>
          </w:tcPr>
          <w:p>
            <w:pPr>
              <w:pStyle w:val="3"/>
              <w:spacing w:line="360" w:lineRule="exact"/>
              <w:rPr>
                <w:lang w:val="en-US"/>
              </w:rPr>
            </w:pPr>
            <w:r>
              <w:rPr>
                <w:rFonts w:hint="eastAsia"/>
                <w:lang w:val="en-US"/>
              </w:rPr>
              <w:t xml:space="preserve">地上  </w:t>
            </w:r>
            <w:bookmarkStart w:id="16" w:name="地上建筑面积"/>
            <w:r>
              <w:t>11062.02</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lang w:val="en-US"/>
              </w:rPr>
              <w:t>建筑层数</w:t>
            </w:r>
          </w:p>
        </w:tc>
        <w:tc>
          <w:tcPr>
            <w:tcW w:w="6447" w:type="dxa"/>
            <w:gridSpan w:val="3"/>
            <w:vAlign w:val="center"/>
          </w:tcPr>
          <w:p>
            <w:pPr>
              <w:pStyle w:val="3"/>
              <w:spacing w:line="360" w:lineRule="exact"/>
              <w:rPr>
                <w:lang w:val="en-US"/>
              </w:rPr>
            </w:pPr>
            <w:r>
              <w:rPr>
                <w:rFonts w:hint="eastAsia"/>
                <w:lang w:val="en-US"/>
              </w:rPr>
              <w:t xml:space="preserve">地上  </w:t>
            </w:r>
            <w:bookmarkStart w:id="18" w:name="地上建筑层数"/>
            <w:r>
              <w:t>7</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lang w:val="en-US"/>
              </w:rPr>
              <w:t>建筑高度</w:t>
            </w:r>
          </w:p>
        </w:tc>
        <w:tc>
          <w:tcPr>
            <w:tcW w:w="6447" w:type="dxa"/>
            <w:gridSpan w:val="3"/>
            <w:vAlign w:val="center"/>
          </w:tcPr>
          <w:p>
            <w:pPr>
              <w:pStyle w:val="3"/>
              <w:spacing w:line="360" w:lineRule="exact"/>
              <w:rPr>
                <w:lang w:val="en-US"/>
              </w:rPr>
            </w:pPr>
            <w:r>
              <w:rPr>
                <w:rFonts w:hint="eastAsia"/>
                <w:lang w:val="en-US"/>
              </w:rPr>
              <w:t xml:space="preserve">地上 </w:t>
            </w:r>
            <w:bookmarkStart w:id="20" w:name="地上建筑高度"/>
            <w:r>
              <w:t>26.10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pPr>
              <w:pStyle w:val="3"/>
              <w:spacing w:line="360" w:lineRule="exact"/>
              <w:rPr>
                <w:lang w:val="en-US"/>
              </w:rPr>
            </w:pPr>
            <w:r>
              <w:rPr>
                <w:rFonts w:hint="eastAsia"/>
              </w:rPr>
              <w:t>备注</w:t>
            </w:r>
          </w:p>
        </w:tc>
        <w:tc>
          <w:tcPr>
            <w:tcW w:w="6447" w:type="dxa"/>
            <w:gridSpan w:val="3"/>
            <w:vAlign w:val="center"/>
          </w:tcPr>
          <w:p>
            <w:pPr>
              <w:pStyle w:val="3"/>
              <w:spacing w:line="360" w:lineRule="exact"/>
              <w:rPr>
                <w:lang w:val="en-US"/>
              </w:rPr>
            </w:pPr>
            <w:bookmarkStart w:id="22" w:name="备注"/>
            <w:bookmarkEnd w:id="22"/>
          </w:p>
        </w:tc>
      </w:tr>
    </w:tbl>
    <w:p>
      <w:pPr>
        <w:pStyle w:val="3"/>
        <w:spacing w:line="360" w:lineRule="exact"/>
        <w:jc w:val="center"/>
        <w:rPr>
          <w:lang w:val="en-US"/>
        </w:rPr>
      </w:pPr>
    </w:p>
    <w:p>
      <w:pPr>
        <w:pStyle w:val="3"/>
        <w:ind w:firstLine="420"/>
        <w:jc w:val="center"/>
        <w:rPr>
          <w:lang w:val="en-US"/>
        </w:rPr>
      </w:pPr>
    </w:p>
    <w:p>
      <w:pPr>
        <w:pStyle w:val="2"/>
      </w:pPr>
      <w:bookmarkStart w:id="23" w:name="_Toc9436"/>
      <w:r>
        <w:rPr>
          <w:rFonts w:hint="eastAsia"/>
        </w:rPr>
        <w:t>设计依据</w:t>
      </w:r>
      <w:bookmarkEnd w:id="23"/>
    </w:p>
    <w:p>
      <w:pPr>
        <w:pStyle w:val="3"/>
        <w:numPr>
          <w:ilvl w:val="0"/>
          <w:numId w:val="2"/>
        </w:numPr>
      </w:pPr>
      <w:r>
        <w:rPr>
          <w:rFonts w:hint="eastAsia"/>
        </w:rPr>
        <w:t xml:space="preserve">《建筑采光设计标准》  </w:t>
      </w:r>
      <w:bookmarkStart w:id="24" w:name="采光标准"/>
      <w:r>
        <w:t>GB50033-2013</w:t>
      </w:r>
      <w:bookmarkEnd w:id="24"/>
    </w:p>
    <w:p>
      <w:pPr>
        <w:pStyle w:val="3"/>
        <w:numPr>
          <w:ilvl w:val="0"/>
          <w:numId w:val="2"/>
        </w:numPr>
      </w:pPr>
      <w:r>
        <w:t>《</w:t>
      </w:r>
      <w:r>
        <w:rPr>
          <w:rFonts w:hint="eastAsia"/>
        </w:rPr>
        <w:t>民用建筑设计统一标准</w:t>
      </w:r>
      <w:r>
        <w:t>》</w:t>
      </w:r>
      <w:r>
        <w:rPr>
          <w:rFonts w:hint="eastAsia"/>
        </w:rPr>
        <w:t xml:space="preserve"> GB</w:t>
      </w:r>
      <w:r>
        <w:t xml:space="preserve"> </w:t>
      </w:r>
      <w:r>
        <w:rPr>
          <w:rFonts w:hint="eastAsia"/>
        </w:rPr>
        <w:t>50352-2019</w:t>
      </w:r>
    </w:p>
    <w:p>
      <w:pPr>
        <w:pStyle w:val="3"/>
        <w:numPr>
          <w:ilvl w:val="0"/>
          <w:numId w:val="2"/>
        </w:numPr>
      </w:pPr>
      <w:r>
        <w:rPr>
          <w:rFonts w:hint="eastAsia"/>
        </w:rPr>
        <w:t>《采光</w:t>
      </w:r>
      <w:r>
        <w:t>测量方法</w:t>
      </w:r>
      <w:r>
        <w:rPr>
          <w:rFonts w:hint="eastAsia"/>
        </w:rPr>
        <w:t>》GB/T 5699</w:t>
      </w:r>
      <w:r>
        <w:t>-2017</w:t>
      </w:r>
    </w:p>
    <w:p>
      <w:pPr>
        <w:pStyle w:val="2"/>
      </w:pPr>
      <w:bookmarkStart w:id="25" w:name="_Toc8588"/>
      <w:r>
        <w:rPr>
          <w:rFonts w:hint="eastAsia"/>
        </w:rPr>
        <w:t>计算</w:t>
      </w:r>
      <w:r>
        <w:t>目的</w:t>
      </w:r>
      <w:bookmarkEnd w:id="25"/>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本报告旨在通过采光软件对目标</w:t>
      </w:r>
      <w:r>
        <w:rPr>
          <w:rFonts w:ascii="微软雅黑" w:hAnsi="微软雅黑" w:eastAsia="微软雅黑"/>
          <w:sz w:val="21"/>
          <w:szCs w:val="21"/>
        </w:rPr>
        <w:t>建筑进行采光</w:t>
      </w:r>
      <w:r>
        <w:rPr>
          <w:rFonts w:hint="eastAsia" w:ascii="微软雅黑" w:hAnsi="微软雅黑" w:eastAsia="微软雅黑"/>
          <w:sz w:val="21"/>
          <w:szCs w:val="21"/>
        </w:rPr>
        <w:t>分析计算，求得建筑内</w:t>
      </w:r>
      <w:r>
        <w:rPr>
          <w:rFonts w:ascii="微软雅黑" w:hAnsi="微软雅黑" w:eastAsia="微软雅黑"/>
          <w:sz w:val="21"/>
          <w:szCs w:val="21"/>
        </w:rPr>
        <w:t>房间的</w:t>
      </w:r>
      <w:r>
        <w:rPr>
          <w:rFonts w:hint="eastAsia" w:ascii="微软雅黑" w:hAnsi="微软雅黑" w:eastAsia="微软雅黑"/>
          <w:sz w:val="21"/>
          <w:szCs w:val="21"/>
        </w:rPr>
        <w:t>平均</w:t>
      </w:r>
      <w:r>
        <w:rPr>
          <w:rFonts w:ascii="微软雅黑" w:hAnsi="微软雅黑" w:eastAsia="微软雅黑"/>
          <w:sz w:val="21"/>
          <w:szCs w:val="21"/>
        </w:rPr>
        <w:t>采光系数</w:t>
      </w:r>
      <w:r>
        <w:rPr>
          <w:rFonts w:hint="eastAsia" w:ascii="微软雅黑" w:hAnsi="微软雅黑" w:eastAsia="微软雅黑"/>
          <w:sz w:val="21"/>
          <w:szCs w:val="21"/>
        </w:rPr>
        <w:t>和达标面积比例</w:t>
      </w:r>
      <w:r>
        <w:rPr>
          <w:rFonts w:ascii="微软雅黑" w:hAnsi="微软雅黑" w:eastAsia="微软雅黑"/>
          <w:sz w:val="21"/>
          <w:szCs w:val="21"/>
        </w:rPr>
        <w:t>，</w:t>
      </w:r>
      <w:r>
        <w:rPr>
          <w:rFonts w:hint="eastAsia" w:ascii="微软雅黑" w:hAnsi="微软雅黑" w:eastAsia="微软雅黑"/>
          <w:sz w:val="21"/>
          <w:szCs w:val="21"/>
        </w:rPr>
        <w:t>从而评价本建筑的采光设计是否符合《建筑采光设计标准》和</w:t>
      </w:r>
      <w:r>
        <w:rPr>
          <w:rFonts w:ascii="微软雅黑" w:hAnsi="微软雅黑" w:eastAsia="微软雅黑"/>
          <w:sz w:val="21"/>
          <w:szCs w:val="21"/>
        </w:rPr>
        <w:t>《</w:t>
      </w:r>
      <w:r>
        <w:rPr>
          <w:rFonts w:hint="eastAsia" w:ascii="微软雅黑" w:hAnsi="微软雅黑" w:eastAsia="微软雅黑"/>
          <w:sz w:val="21"/>
          <w:szCs w:val="21"/>
        </w:rPr>
        <w:t>民用建筑设计统一标准</w:t>
      </w:r>
      <w:r>
        <w:rPr>
          <w:rFonts w:ascii="微软雅黑" w:hAnsi="微软雅黑" w:eastAsia="微软雅黑"/>
          <w:sz w:val="21"/>
          <w:szCs w:val="21"/>
        </w:rPr>
        <w:t>》</w:t>
      </w:r>
      <w:r>
        <w:rPr>
          <w:rFonts w:hint="eastAsia" w:ascii="微软雅黑" w:hAnsi="微软雅黑" w:eastAsia="微软雅黑"/>
          <w:sz w:val="21"/>
          <w:szCs w:val="21"/>
        </w:rPr>
        <w:t>的要求。</w:t>
      </w:r>
    </w:p>
    <w:p>
      <w:pPr>
        <w:pStyle w:val="2"/>
      </w:pPr>
      <w:bookmarkStart w:id="26" w:name="_Toc13197"/>
      <w:r>
        <w:rPr>
          <w:rFonts w:hint="eastAsia"/>
        </w:rPr>
        <w:t>标准要求</w:t>
      </w:r>
      <w:bookmarkEnd w:id="26"/>
    </w:p>
    <w:p>
      <w:pPr>
        <w:pStyle w:val="3"/>
        <w:ind w:firstLine="420"/>
      </w:pPr>
      <w:r>
        <w:t>本项目为</w:t>
      </w:r>
      <w:r>
        <w:rPr>
          <w:rFonts w:hint="eastAsia"/>
        </w:rPr>
        <w:t>住宅建筑，主要功能房间为卧室和起居室等。</w:t>
      </w:r>
      <w:r>
        <w:t>《建筑采光设计标准》GB 50033</w:t>
      </w:r>
      <w:r>
        <w:rPr>
          <w:rFonts w:hint="eastAsia"/>
        </w:rPr>
        <w:t>对采光计算方法、采光等级和</w:t>
      </w:r>
      <w:r>
        <w:t>采光标准值</w:t>
      </w:r>
      <w:r>
        <w:rPr>
          <w:rFonts w:hint="eastAsia"/>
        </w:rPr>
        <w:t>，不同</w:t>
      </w:r>
      <w:r>
        <w:t>光气候分区</w:t>
      </w:r>
      <w:r>
        <w:rPr>
          <w:rFonts w:hint="eastAsia"/>
        </w:rPr>
        <w:t>下的</w:t>
      </w:r>
      <w:r>
        <w:t>光气候系数</w:t>
      </w:r>
      <w:r>
        <w:rPr>
          <w:rFonts w:hint="eastAsia"/>
        </w:rPr>
        <w:t>K值、</w:t>
      </w:r>
      <w:r>
        <w:t>室外天然光设计照度值Es</w:t>
      </w:r>
      <w:r>
        <w:rPr>
          <w:rFonts w:hint="eastAsia"/>
        </w:rPr>
        <w:t>值等做了相应规定，对住宅建建筑主要功能房间的采光系数做出规定，</w:t>
      </w:r>
      <w:r>
        <w:t>《</w:t>
      </w:r>
      <w:r>
        <w:rPr>
          <w:rFonts w:hint="eastAsia"/>
        </w:rPr>
        <w:t>民用建筑设计统一标准</w:t>
      </w:r>
      <w:r>
        <w:t>》GB 50352</w:t>
      </w:r>
      <w:r>
        <w:rPr>
          <w:rFonts w:hint="eastAsia"/>
        </w:rPr>
        <w:t>对住宅建筑的采光达标要求做了补充。</w:t>
      </w:r>
    </w:p>
    <w:p>
      <w:pPr>
        <w:pStyle w:val="13"/>
        <w:numPr>
          <w:ilvl w:val="0"/>
          <w:numId w:val="3"/>
        </w:numPr>
        <w:spacing w:line="420" w:lineRule="auto"/>
        <w:ind w:firstLineChars="0"/>
        <w:rPr>
          <w:rFonts w:ascii="微软雅黑" w:hAnsi="微软雅黑" w:eastAsia="微软雅黑"/>
          <w:b/>
          <w:sz w:val="21"/>
          <w:szCs w:val="21"/>
        </w:rPr>
      </w:pPr>
      <w:r>
        <w:rPr>
          <w:rFonts w:ascii="微软雅黑" w:hAnsi="微软雅黑" w:eastAsia="微软雅黑"/>
          <w:b/>
          <w:sz w:val="21"/>
          <w:szCs w:val="21"/>
        </w:rPr>
        <w:t>《建筑采光设计标准》GB 50033-2013</w:t>
      </w:r>
      <w:r>
        <w:rPr>
          <w:rFonts w:hint="eastAsia" w:ascii="微软雅黑" w:hAnsi="微软雅黑" w:eastAsia="微软雅黑"/>
          <w:b/>
          <w:sz w:val="21"/>
          <w:szCs w:val="21"/>
        </w:rPr>
        <w:t>相关</w:t>
      </w:r>
      <w:r>
        <w:rPr>
          <w:rFonts w:ascii="微软雅黑" w:hAnsi="微软雅黑" w:eastAsia="微软雅黑"/>
          <w:b/>
          <w:sz w:val="21"/>
          <w:szCs w:val="21"/>
        </w:rPr>
        <w:t>条文</w:t>
      </w:r>
    </w:p>
    <w:p>
      <w:pPr>
        <w:pStyle w:val="13"/>
        <w:spacing w:before="156" w:beforeLines="50" w:line="360" w:lineRule="exact"/>
        <w:ind w:left="482" w:firstLine="0" w:firstLineChars="0"/>
        <w:rPr>
          <w:rFonts w:ascii="微软雅黑" w:hAnsi="微软雅黑" w:eastAsia="微软雅黑"/>
          <w:sz w:val="21"/>
          <w:szCs w:val="21"/>
        </w:rPr>
      </w:pPr>
      <w:r>
        <w:rPr>
          <w:rFonts w:ascii="微软雅黑" w:hAnsi="微软雅黑" w:eastAsia="微软雅黑"/>
          <w:b/>
          <w:bCs/>
          <w:sz w:val="21"/>
          <w:szCs w:val="21"/>
        </w:rPr>
        <w:t>3.0.4</w:t>
      </w:r>
      <w:r>
        <w:rPr>
          <w:rFonts w:ascii="微软雅黑" w:hAnsi="微软雅黑" w:eastAsia="微软雅黑"/>
          <w:sz w:val="21"/>
          <w:szCs w:val="21"/>
        </w:rPr>
        <w:t xml:space="preserve">  光气候分区应按本标准附录A确定。各光气候区的室外天然光设计照度值应按表3.0.4采用。所在地区的采光系数标准值应乘以相应地区的光气候系数K。</w:t>
      </w:r>
    </w:p>
    <w:p>
      <w:pPr>
        <w:spacing w:line="360" w:lineRule="auto"/>
        <w:rPr>
          <w:kern w:val="2"/>
          <w:sz w:val="21"/>
          <w:szCs w:val="21"/>
          <w:lang w:val="en-US"/>
        </w:rPr>
      </w:pPr>
      <w:r>
        <w:rPr>
          <w:kern w:val="2"/>
          <w:sz w:val="21"/>
          <w:szCs w:val="21"/>
          <w:lang w:val="en-US"/>
        </w:rPr>
        <w:t>表3.0.4  光气候系数K值</w:t>
      </w:r>
    </w:p>
    <w:tbl>
      <w:tblPr>
        <w:tblStyle w:val="20"/>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7" w:hRule="atLeast"/>
          <w:jc w:val="center"/>
        </w:trPr>
        <w:tc>
          <w:tcPr>
            <w:tcW w:w="2942" w:type="dxa"/>
            <w:vAlign w:val="center"/>
          </w:tcPr>
          <w:p>
            <w:pPr>
              <w:widowControl w:val="0"/>
              <w:spacing w:line="276" w:lineRule="auto"/>
              <w:rPr>
                <w:kern w:val="2"/>
                <w:sz w:val="21"/>
                <w:szCs w:val="21"/>
              </w:rPr>
            </w:pPr>
            <w:r>
              <w:rPr>
                <w:szCs w:val="21"/>
              </w:rPr>
              <w:t>光气候区</w:t>
            </w:r>
          </w:p>
        </w:tc>
        <w:tc>
          <w:tcPr>
            <w:tcW w:w="1213" w:type="dxa"/>
            <w:vAlign w:val="center"/>
          </w:tcPr>
          <w:p>
            <w:pPr>
              <w:widowControl w:val="0"/>
              <w:spacing w:line="276" w:lineRule="auto"/>
              <w:rPr>
                <w:kern w:val="2"/>
                <w:sz w:val="21"/>
                <w:szCs w:val="21"/>
              </w:rPr>
            </w:pPr>
            <w:r>
              <w:rPr>
                <w:rFonts w:hint="eastAsia" w:cs="宋体"/>
                <w:szCs w:val="21"/>
              </w:rPr>
              <w:t>Ⅰ</w:t>
            </w:r>
          </w:p>
        </w:tc>
        <w:tc>
          <w:tcPr>
            <w:tcW w:w="1213" w:type="dxa"/>
            <w:vAlign w:val="center"/>
          </w:tcPr>
          <w:p>
            <w:pPr>
              <w:widowControl w:val="0"/>
              <w:spacing w:line="276" w:lineRule="auto"/>
              <w:rPr>
                <w:kern w:val="2"/>
                <w:sz w:val="21"/>
                <w:szCs w:val="21"/>
              </w:rPr>
            </w:pPr>
            <w:r>
              <w:rPr>
                <w:rFonts w:hint="eastAsia" w:cs="宋体"/>
                <w:szCs w:val="21"/>
              </w:rPr>
              <w:t>Ⅱ</w:t>
            </w:r>
          </w:p>
        </w:tc>
        <w:tc>
          <w:tcPr>
            <w:tcW w:w="1213" w:type="dxa"/>
            <w:vAlign w:val="center"/>
          </w:tcPr>
          <w:p>
            <w:pPr>
              <w:widowControl w:val="0"/>
              <w:spacing w:line="276" w:lineRule="auto"/>
              <w:rPr>
                <w:kern w:val="2"/>
                <w:sz w:val="21"/>
                <w:szCs w:val="21"/>
              </w:rPr>
            </w:pPr>
            <w:r>
              <w:rPr>
                <w:rFonts w:hint="eastAsia" w:cs="宋体"/>
                <w:szCs w:val="21"/>
              </w:rPr>
              <w:t>Ⅲ</w:t>
            </w:r>
          </w:p>
        </w:tc>
        <w:tc>
          <w:tcPr>
            <w:tcW w:w="1213" w:type="dxa"/>
            <w:vAlign w:val="center"/>
          </w:tcPr>
          <w:p>
            <w:pPr>
              <w:widowControl w:val="0"/>
              <w:spacing w:line="276" w:lineRule="auto"/>
              <w:rPr>
                <w:kern w:val="2"/>
                <w:sz w:val="21"/>
                <w:szCs w:val="21"/>
              </w:rPr>
            </w:pPr>
            <w:r>
              <w:rPr>
                <w:rFonts w:hint="eastAsia" w:cs="宋体"/>
                <w:szCs w:val="21"/>
              </w:rPr>
              <w:t>Ⅳ</w:t>
            </w:r>
          </w:p>
        </w:tc>
        <w:tc>
          <w:tcPr>
            <w:tcW w:w="1214" w:type="dxa"/>
            <w:vAlign w:val="center"/>
          </w:tcPr>
          <w:p>
            <w:pPr>
              <w:widowControl w:val="0"/>
              <w:spacing w:line="276" w:lineRule="auto"/>
              <w:rPr>
                <w:kern w:val="2"/>
                <w:sz w:val="21"/>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pPr>
              <w:widowControl w:val="0"/>
              <w:spacing w:line="276" w:lineRule="auto"/>
              <w:rPr>
                <w:kern w:val="2"/>
                <w:sz w:val="21"/>
                <w:szCs w:val="21"/>
              </w:rPr>
            </w:pPr>
            <w:r>
              <w:rPr>
                <w:szCs w:val="21"/>
              </w:rPr>
              <w:t>K值</w:t>
            </w:r>
          </w:p>
        </w:tc>
        <w:tc>
          <w:tcPr>
            <w:tcW w:w="1213" w:type="dxa"/>
            <w:vAlign w:val="center"/>
          </w:tcPr>
          <w:p>
            <w:pPr>
              <w:widowControl w:val="0"/>
              <w:spacing w:line="276" w:lineRule="auto"/>
              <w:rPr>
                <w:kern w:val="2"/>
                <w:sz w:val="21"/>
                <w:szCs w:val="21"/>
              </w:rPr>
            </w:pPr>
            <w:r>
              <w:rPr>
                <w:szCs w:val="21"/>
              </w:rPr>
              <w:t>0.85</w:t>
            </w:r>
          </w:p>
        </w:tc>
        <w:tc>
          <w:tcPr>
            <w:tcW w:w="1213" w:type="dxa"/>
            <w:vAlign w:val="center"/>
          </w:tcPr>
          <w:p>
            <w:pPr>
              <w:widowControl w:val="0"/>
              <w:spacing w:line="276" w:lineRule="auto"/>
              <w:rPr>
                <w:kern w:val="2"/>
                <w:sz w:val="21"/>
                <w:szCs w:val="21"/>
              </w:rPr>
            </w:pPr>
            <w:r>
              <w:rPr>
                <w:szCs w:val="21"/>
              </w:rPr>
              <w:t>0.90</w:t>
            </w:r>
          </w:p>
        </w:tc>
        <w:tc>
          <w:tcPr>
            <w:tcW w:w="1213" w:type="dxa"/>
            <w:vAlign w:val="center"/>
          </w:tcPr>
          <w:p>
            <w:pPr>
              <w:widowControl w:val="0"/>
              <w:spacing w:line="276" w:lineRule="auto"/>
              <w:rPr>
                <w:kern w:val="2"/>
                <w:sz w:val="21"/>
                <w:szCs w:val="21"/>
              </w:rPr>
            </w:pPr>
            <w:r>
              <w:rPr>
                <w:szCs w:val="21"/>
              </w:rPr>
              <w:t>1.00</w:t>
            </w:r>
          </w:p>
        </w:tc>
        <w:tc>
          <w:tcPr>
            <w:tcW w:w="1213" w:type="dxa"/>
            <w:vAlign w:val="center"/>
          </w:tcPr>
          <w:p>
            <w:pPr>
              <w:widowControl w:val="0"/>
              <w:spacing w:line="276" w:lineRule="auto"/>
              <w:rPr>
                <w:kern w:val="2"/>
                <w:sz w:val="21"/>
                <w:szCs w:val="21"/>
              </w:rPr>
            </w:pPr>
            <w:r>
              <w:rPr>
                <w:szCs w:val="21"/>
              </w:rPr>
              <w:t>1.10</w:t>
            </w:r>
          </w:p>
        </w:tc>
        <w:tc>
          <w:tcPr>
            <w:tcW w:w="1214" w:type="dxa"/>
            <w:vAlign w:val="center"/>
          </w:tcPr>
          <w:p>
            <w:pPr>
              <w:widowControl w:val="0"/>
              <w:spacing w:line="276" w:lineRule="auto"/>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pPr>
              <w:widowControl w:val="0"/>
              <w:spacing w:line="276" w:lineRule="auto"/>
              <w:rPr>
                <w:kern w:val="2"/>
                <w:sz w:val="21"/>
                <w:szCs w:val="21"/>
              </w:rPr>
            </w:pPr>
            <w:r>
              <w:rPr>
                <w:szCs w:val="21"/>
              </w:rPr>
              <w:t>室外天然光设计照度值E</w:t>
            </w:r>
            <w:r>
              <w:rPr>
                <w:szCs w:val="21"/>
                <w:vertAlign w:val="subscript"/>
              </w:rPr>
              <w:t xml:space="preserve">s </w:t>
            </w:r>
            <w:r>
              <w:rPr>
                <w:szCs w:val="21"/>
              </w:rPr>
              <w:t>（lx）</w:t>
            </w:r>
          </w:p>
        </w:tc>
        <w:tc>
          <w:tcPr>
            <w:tcW w:w="1213" w:type="dxa"/>
            <w:vAlign w:val="center"/>
          </w:tcPr>
          <w:p>
            <w:pPr>
              <w:widowControl w:val="0"/>
              <w:spacing w:line="276" w:lineRule="auto"/>
              <w:ind w:firstLine="90" w:firstLineChars="50"/>
              <w:rPr>
                <w:kern w:val="2"/>
                <w:sz w:val="21"/>
                <w:szCs w:val="21"/>
              </w:rPr>
            </w:pPr>
            <w:r>
              <w:rPr>
                <w:szCs w:val="21"/>
              </w:rPr>
              <w:t>18000</w:t>
            </w:r>
          </w:p>
        </w:tc>
        <w:tc>
          <w:tcPr>
            <w:tcW w:w="1213" w:type="dxa"/>
            <w:vAlign w:val="center"/>
          </w:tcPr>
          <w:p>
            <w:pPr>
              <w:widowControl w:val="0"/>
              <w:spacing w:line="276" w:lineRule="auto"/>
              <w:ind w:firstLine="90" w:firstLineChars="50"/>
              <w:rPr>
                <w:kern w:val="2"/>
                <w:sz w:val="21"/>
                <w:szCs w:val="21"/>
              </w:rPr>
            </w:pPr>
            <w:r>
              <w:rPr>
                <w:szCs w:val="21"/>
              </w:rPr>
              <w:t>16500</w:t>
            </w:r>
          </w:p>
        </w:tc>
        <w:tc>
          <w:tcPr>
            <w:tcW w:w="1213" w:type="dxa"/>
            <w:vAlign w:val="center"/>
          </w:tcPr>
          <w:p>
            <w:pPr>
              <w:widowControl w:val="0"/>
              <w:spacing w:line="276" w:lineRule="auto"/>
              <w:ind w:firstLine="90" w:firstLineChars="50"/>
              <w:rPr>
                <w:kern w:val="2"/>
                <w:sz w:val="21"/>
                <w:szCs w:val="21"/>
              </w:rPr>
            </w:pPr>
            <w:r>
              <w:rPr>
                <w:szCs w:val="21"/>
              </w:rPr>
              <w:t>15000</w:t>
            </w:r>
          </w:p>
        </w:tc>
        <w:tc>
          <w:tcPr>
            <w:tcW w:w="1213" w:type="dxa"/>
            <w:vAlign w:val="center"/>
          </w:tcPr>
          <w:p>
            <w:pPr>
              <w:widowControl w:val="0"/>
              <w:spacing w:line="276" w:lineRule="auto"/>
              <w:ind w:firstLine="90" w:firstLineChars="50"/>
              <w:rPr>
                <w:kern w:val="2"/>
                <w:sz w:val="21"/>
                <w:szCs w:val="21"/>
              </w:rPr>
            </w:pPr>
            <w:r>
              <w:rPr>
                <w:szCs w:val="21"/>
              </w:rPr>
              <w:t>13500</w:t>
            </w:r>
          </w:p>
        </w:tc>
        <w:tc>
          <w:tcPr>
            <w:tcW w:w="1214" w:type="dxa"/>
            <w:vAlign w:val="center"/>
          </w:tcPr>
          <w:p>
            <w:pPr>
              <w:widowControl w:val="0"/>
              <w:spacing w:line="276" w:lineRule="auto"/>
              <w:ind w:firstLine="90" w:firstLineChars="50"/>
              <w:rPr>
                <w:kern w:val="2"/>
                <w:sz w:val="21"/>
                <w:szCs w:val="21"/>
              </w:rPr>
            </w:pPr>
            <w:r>
              <w:rPr>
                <w:szCs w:val="21"/>
              </w:rPr>
              <w:t>12000</w:t>
            </w:r>
          </w:p>
        </w:tc>
      </w:tr>
    </w:tbl>
    <w:p>
      <w:pPr>
        <w:pStyle w:val="13"/>
        <w:spacing w:before="156" w:beforeLines="50" w:line="360" w:lineRule="exact"/>
        <w:ind w:left="482" w:firstLine="0" w:firstLineChars="0"/>
        <w:rPr>
          <w:rFonts w:ascii="微软雅黑" w:hAnsi="微软雅黑" w:eastAsia="微软雅黑"/>
          <w:sz w:val="21"/>
          <w:szCs w:val="21"/>
        </w:rPr>
      </w:pPr>
      <w:bookmarkStart w:id="27" w:name="_Toc264043625"/>
      <w:bookmarkStart w:id="28" w:name="_Toc264569232"/>
      <w:bookmarkStart w:id="29" w:name="_Toc312399791"/>
      <w:bookmarkStart w:id="30" w:name="_Toc290209336"/>
      <w:bookmarkStart w:id="31" w:name="_Toc290209312"/>
      <w:bookmarkStart w:id="32" w:name="_Toc275165382"/>
      <w:bookmarkStart w:id="33" w:name="_Toc290149054"/>
      <w:r>
        <w:rPr>
          <w:rFonts w:ascii="微软雅黑" w:hAnsi="微软雅黑" w:eastAsia="微软雅黑"/>
          <w:b/>
          <w:bCs/>
          <w:sz w:val="21"/>
          <w:szCs w:val="21"/>
        </w:rPr>
        <w:t>4.0.2</w:t>
      </w:r>
      <w:r>
        <w:rPr>
          <w:rFonts w:ascii="微软雅黑" w:hAnsi="微软雅黑" w:eastAsia="微软雅黑"/>
          <w:sz w:val="21"/>
          <w:szCs w:val="21"/>
        </w:rPr>
        <w:t xml:space="preserve">  住宅建筑的卧室、起居室（厅）的采光不应低于采光等级IV级的采光标准值，侧面采光的采光系数不应低于2.0%，室内天然光照度不应低于300lx。</w:t>
      </w:r>
    </w:p>
    <w:p>
      <w:pPr>
        <w:pStyle w:val="13"/>
        <w:spacing w:before="156" w:beforeLines="50" w:line="360" w:lineRule="exact"/>
        <w:ind w:firstLine="482" w:firstLineChars="0"/>
        <w:rPr>
          <w:rFonts w:ascii="微软雅黑" w:hAnsi="微软雅黑" w:eastAsia="微软雅黑"/>
          <w:sz w:val="21"/>
          <w:szCs w:val="21"/>
        </w:rPr>
      </w:pPr>
      <w:r>
        <w:rPr>
          <w:rFonts w:ascii="微软雅黑" w:hAnsi="微软雅黑" w:eastAsia="微软雅黑"/>
          <w:b/>
          <w:bCs/>
          <w:sz w:val="21"/>
          <w:szCs w:val="21"/>
        </w:rPr>
        <w:t>4.0.3</w:t>
      </w:r>
      <w:r>
        <w:rPr>
          <w:rFonts w:ascii="微软雅黑" w:hAnsi="微软雅黑" w:eastAsia="微软雅黑"/>
          <w:sz w:val="21"/>
          <w:szCs w:val="21"/>
        </w:rPr>
        <w:t xml:space="preserve">  住宅建筑的采光标准值不应低于表4.0.3的规定。</w:t>
      </w:r>
    </w:p>
    <w:p>
      <w:pPr>
        <w:spacing w:line="360" w:lineRule="auto"/>
        <w:rPr>
          <w:szCs w:val="21"/>
        </w:rPr>
      </w:pPr>
      <w:r>
        <w:rPr>
          <w:szCs w:val="21"/>
        </w:rPr>
        <w:t>表4.0.3  住宅建筑的采光标准值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3119"/>
        <w:gridCol w:w="255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94" w:type="dxa"/>
            <w:vMerge w:val="restart"/>
            <w:tcBorders>
              <w:top w:val="single" w:color="auto" w:sz="12" w:space="0"/>
              <w:left w:val="single" w:color="auto" w:sz="12" w:space="0"/>
            </w:tcBorders>
            <w:vAlign w:val="center"/>
          </w:tcPr>
          <w:p>
            <w:r>
              <w:t>采光等级</w:t>
            </w:r>
          </w:p>
        </w:tc>
        <w:tc>
          <w:tcPr>
            <w:tcW w:w="3119" w:type="dxa"/>
            <w:vMerge w:val="restart"/>
            <w:tcBorders>
              <w:top w:val="single" w:color="auto" w:sz="12" w:space="0"/>
            </w:tcBorders>
            <w:vAlign w:val="center"/>
          </w:tcPr>
          <w:p>
            <w:pPr>
              <w:rPr>
                <w:kern w:val="2"/>
              </w:rPr>
            </w:pPr>
            <w:r>
              <w:t>场所名称</w:t>
            </w:r>
          </w:p>
        </w:tc>
        <w:tc>
          <w:tcPr>
            <w:tcW w:w="5215"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94" w:type="dxa"/>
            <w:vMerge w:val="continue"/>
            <w:tcBorders>
              <w:left w:val="single" w:color="auto" w:sz="12" w:space="0"/>
            </w:tcBorders>
            <w:vAlign w:val="center"/>
          </w:tcPr>
          <w:p/>
        </w:tc>
        <w:tc>
          <w:tcPr>
            <w:tcW w:w="3119" w:type="dxa"/>
            <w:vMerge w:val="continue"/>
            <w:vAlign w:val="center"/>
          </w:tcPr>
          <w:p/>
        </w:tc>
        <w:tc>
          <w:tcPr>
            <w:tcW w:w="2551" w:type="dxa"/>
            <w:vAlign w:val="center"/>
          </w:tcPr>
          <w:p>
            <w:r>
              <w:t>采光系数标准值（%）（%）</w:t>
            </w:r>
          </w:p>
        </w:tc>
        <w:tc>
          <w:tcPr>
            <w:tcW w:w="2664" w:type="dxa"/>
            <w:tcBorders>
              <w:right w:val="single" w:color="auto" w:sz="12" w:space="0"/>
            </w:tcBorders>
            <w:vAlign w:val="center"/>
          </w:tcPr>
          <w:p>
            <w:r>
              <w:t>室内天然光照度标准值（</w:t>
            </w:r>
            <w:r>
              <w:rPr>
                <w:rFonts w:hint="eastAsia"/>
              </w:rPr>
              <w:t>lx</w:t>
            </w:r>
            <w:r>
              <w:t>）（lx）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94" w:type="dxa"/>
            <w:tcBorders>
              <w:left w:val="single" w:color="auto" w:sz="12" w:space="0"/>
            </w:tcBorders>
            <w:vAlign w:val="center"/>
          </w:tcPr>
          <w:p>
            <w:r>
              <w:t>Ⅳ</w:t>
            </w:r>
          </w:p>
        </w:tc>
        <w:tc>
          <w:tcPr>
            <w:tcW w:w="3119" w:type="dxa"/>
            <w:vAlign w:val="center"/>
          </w:tcPr>
          <w:p>
            <w:pPr>
              <w:rPr>
                <w:kern w:val="2"/>
              </w:rPr>
            </w:pPr>
            <w:r>
              <w:t>厨房</w:t>
            </w:r>
          </w:p>
        </w:tc>
        <w:tc>
          <w:tcPr>
            <w:tcW w:w="2551" w:type="dxa"/>
            <w:vAlign w:val="center"/>
          </w:tcPr>
          <w:p>
            <w:pPr>
              <w:rPr>
                <w:kern w:val="2"/>
              </w:rPr>
            </w:pPr>
            <w:r>
              <w:t>2.0</w:t>
            </w:r>
          </w:p>
        </w:tc>
        <w:tc>
          <w:tcPr>
            <w:tcW w:w="2664" w:type="dxa"/>
            <w:tcBorders>
              <w:right w:val="single" w:color="auto" w:sz="12" w:space="0"/>
            </w:tcBorders>
            <w:vAlign w:val="center"/>
          </w:tcPr>
          <w:p>
            <w:pPr>
              <w:rPr>
                <w:kern w:val="2"/>
              </w:rP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94" w:type="dxa"/>
            <w:tcBorders>
              <w:left w:val="single" w:color="auto" w:sz="12" w:space="0"/>
              <w:bottom w:val="single" w:color="auto" w:sz="12" w:space="0"/>
            </w:tcBorders>
            <w:vAlign w:val="center"/>
          </w:tcPr>
          <w:p>
            <w:r>
              <w:t>Ⅴ</w:t>
            </w:r>
          </w:p>
        </w:tc>
        <w:tc>
          <w:tcPr>
            <w:tcW w:w="3119" w:type="dxa"/>
            <w:tcBorders>
              <w:bottom w:val="single" w:color="auto" w:sz="12" w:space="0"/>
            </w:tcBorders>
            <w:vAlign w:val="center"/>
          </w:tcPr>
          <w:p>
            <w:pPr>
              <w:rPr>
                <w:kern w:val="2"/>
              </w:rPr>
            </w:pPr>
            <w:r>
              <w:t>卫生间、过道、餐厅、楼梯间</w:t>
            </w:r>
          </w:p>
        </w:tc>
        <w:tc>
          <w:tcPr>
            <w:tcW w:w="2551" w:type="dxa"/>
            <w:tcBorders>
              <w:bottom w:val="single" w:color="auto" w:sz="12" w:space="0"/>
            </w:tcBorders>
            <w:vAlign w:val="center"/>
          </w:tcPr>
          <w:p>
            <w:pPr>
              <w:rPr>
                <w:kern w:val="2"/>
              </w:rPr>
            </w:pPr>
            <w:r>
              <w:t>1.0</w:t>
            </w:r>
          </w:p>
          <w:p/>
        </w:tc>
        <w:tc>
          <w:tcPr>
            <w:tcW w:w="2664" w:type="dxa"/>
            <w:tcBorders>
              <w:bottom w:val="single" w:color="auto" w:sz="12" w:space="0"/>
              <w:right w:val="single" w:color="auto" w:sz="12" w:space="0"/>
            </w:tcBorders>
            <w:vAlign w:val="center"/>
          </w:tcPr>
          <w:p>
            <w:pPr>
              <w:rPr>
                <w:kern w:val="2"/>
              </w:rPr>
            </w:pPr>
            <w:r>
              <w:t>150</w:t>
            </w:r>
          </w:p>
        </w:tc>
      </w:tr>
    </w:tbl>
    <w:p>
      <w:pPr>
        <w:pStyle w:val="13"/>
        <w:numPr>
          <w:ilvl w:val="0"/>
          <w:numId w:val="3"/>
        </w:numPr>
        <w:snapToGrid w:val="0"/>
        <w:spacing w:before="156" w:beforeLines="50" w:line="420" w:lineRule="auto"/>
        <w:ind w:firstLineChars="0"/>
        <w:rPr>
          <w:rFonts w:ascii="微软雅黑" w:hAnsi="微软雅黑" w:eastAsia="微软雅黑"/>
          <w:b/>
          <w:sz w:val="21"/>
          <w:szCs w:val="21"/>
        </w:rPr>
      </w:pPr>
      <w:r>
        <w:rPr>
          <w:rFonts w:ascii="微软雅黑" w:hAnsi="微软雅黑" w:eastAsia="微软雅黑"/>
          <w:b/>
          <w:sz w:val="21"/>
          <w:szCs w:val="21"/>
        </w:rPr>
        <w:t>《民用建筑设计统一标准》GB 50352-2019</w:t>
      </w:r>
      <w:r>
        <w:rPr>
          <w:rFonts w:hint="eastAsia" w:ascii="微软雅黑" w:hAnsi="微软雅黑" w:eastAsia="微软雅黑"/>
          <w:b/>
          <w:sz w:val="21"/>
          <w:szCs w:val="21"/>
        </w:rPr>
        <w:t>相关条文</w:t>
      </w:r>
    </w:p>
    <w:p>
      <w:pPr>
        <w:pStyle w:val="3"/>
        <w:ind w:left="360" w:leftChars="200"/>
        <w:rPr>
          <w:kern w:val="2"/>
          <w:lang w:val="en-US"/>
        </w:rPr>
      </w:pPr>
      <w:r>
        <w:rPr>
          <w:b/>
          <w:bCs/>
          <w:kern w:val="2"/>
          <w:lang w:val="en-US"/>
        </w:rPr>
        <w:t>7.1.2</w:t>
      </w:r>
      <w:r>
        <w:rPr>
          <w:lang w:val="en-US"/>
        </w:rPr>
        <w:t xml:space="preserve"> </w:t>
      </w:r>
      <w:r>
        <w:rPr>
          <w:kern w:val="2"/>
          <w:lang w:val="en-US"/>
        </w:rPr>
        <w:t>居住建筑的卧室和起居室（厅）的采光不应低于采光等级IV级的采光系数标准值，且应进行采光计算。采光应符合下列规定：</w:t>
      </w:r>
    </w:p>
    <w:p>
      <w:pPr>
        <w:pStyle w:val="3"/>
        <w:ind w:left="360" w:leftChars="200"/>
        <w:rPr>
          <w:kern w:val="2"/>
          <w:lang w:val="en-US"/>
        </w:rPr>
      </w:pPr>
      <w:r>
        <w:rPr>
          <w:rFonts w:hint="eastAsia"/>
          <w:kern w:val="2"/>
          <w:lang w:val="en-US"/>
        </w:rPr>
        <w:t>1</w:t>
      </w:r>
      <w:r>
        <w:rPr>
          <w:kern w:val="2"/>
          <w:lang w:val="en-US"/>
        </w:rPr>
        <w:t xml:space="preserve">. </w:t>
      </w:r>
      <w:r>
        <w:rPr>
          <w:rFonts w:hint="eastAsia"/>
          <w:kern w:val="2"/>
          <w:lang w:val="en-US"/>
        </w:rPr>
        <w:t>每套住宅至少应有一个居住空间满足</w:t>
      </w:r>
      <w:r>
        <w:rPr>
          <w:kern w:val="2"/>
          <w:lang w:val="en-US"/>
        </w:rPr>
        <w:t>采光系数标准要求</w:t>
      </w:r>
      <w:r>
        <w:rPr>
          <w:rFonts w:hint="eastAsia"/>
          <w:kern w:val="2"/>
          <w:lang w:val="en-US"/>
        </w:rPr>
        <w:t>，当一套住宅中居住空间总数超过4个时，其中应有2个及以上满足</w:t>
      </w:r>
      <w:r>
        <w:rPr>
          <w:kern w:val="2"/>
          <w:lang w:val="en-US"/>
        </w:rPr>
        <w:t>采光系数标准要求。</w:t>
      </w:r>
    </w:p>
    <w:p>
      <w:pPr>
        <w:pStyle w:val="2"/>
      </w:pPr>
      <w:bookmarkStart w:id="34" w:name="_Toc26955"/>
      <w:r>
        <w:rPr>
          <w:rFonts w:hint="eastAsia"/>
        </w:rPr>
        <w:t>采光分析</w:t>
      </w:r>
      <w:r>
        <w:t>概述</w:t>
      </w:r>
      <w:bookmarkEnd w:id="27"/>
      <w:bookmarkEnd w:id="28"/>
      <w:bookmarkEnd w:id="29"/>
      <w:bookmarkEnd w:id="30"/>
      <w:bookmarkEnd w:id="31"/>
      <w:bookmarkEnd w:id="32"/>
      <w:bookmarkEnd w:id="33"/>
      <w:bookmarkEnd w:id="34"/>
    </w:p>
    <w:p>
      <w:pPr>
        <w:pStyle w:val="3"/>
        <w:spacing w:line="360" w:lineRule="exact"/>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spacing w:after="120"/>
      </w:pPr>
      <w:bookmarkStart w:id="35" w:name="_Toc14595"/>
      <w:r>
        <w:rPr>
          <w:rFonts w:hint="eastAsia"/>
        </w:rPr>
        <w:t>基本原理</w:t>
      </w:r>
      <w:bookmarkEnd w:id="35"/>
    </w:p>
    <w:p>
      <w:pPr>
        <w:pStyle w:val="13"/>
        <w:spacing w:line="360" w:lineRule="auto"/>
        <w:ind w:firstLine="420"/>
        <w:rPr>
          <w:rFonts w:ascii="微软雅黑" w:hAnsi="微软雅黑" w:eastAsia="微软雅黑"/>
          <w:b/>
          <w:sz w:val="21"/>
          <w:szCs w:val="21"/>
        </w:rPr>
      </w:pPr>
      <w:r>
        <w:rPr>
          <w:rFonts w:hint="eastAsia" w:ascii="微软雅黑" w:hAnsi="微软雅黑" w:eastAsia="微软雅黑"/>
          <w:b/>
          <w:sz w:val="21"/>
          <w:szCs w:val="21"/>
        </w:rPr>
        <w:t>《建筑采光设计标准》GB</w:t>
      </w:r>
      <w:r>
        <w:rPr>
          <w:rFonts w:ascii="微软雅黑" w:hAnsi="微软雅黑" w:eastAsia="微软雅黑"/>
          <w:b/>
          <w:sz w:val="21"/>
          <w:szCs w:val="21"/>
        </w:rPr>
        <w:t xml:space="preserve"> </w:t>
      </w:r>
      <w:r>
        <w:rPr>
          <w:rFonts w:hint="eastAsia" w:ascii="微软雅黑" w:hAnsi="微软雅黑" w:eastAsia="微软雅黑"/>
          <w:b/>
          <w:sz w:val="21"/>
          <w:szCs w:val="21"/>
        </w:rPr>
        <w:t>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eastAsia="微软雅黑"/>
          <w:b/>
          <w:sz w:val="21"/>
          <w:szCs w:val="21"/>
        </w:rPr>
      </w:pPr>
      <w:r>
        <w:rPr>
          <w:rFonts w:hint="eastAsia" w:ascii="微软雅黑" w:hAnsi="微软雅黑" w:eastAsia="微软雅黑"/>
          <w:b/>
          <w:sz w:val="21"/>
          <w:szCs w:val="21"/>
        </w:rPr>
        <w:t>1</w:t>
      </w:r>
      <w:r>
        <w:rPr>
          <w:rFonts w:ascii="微软雅黑" w:hAnsi="微软雅黑" w:eastAsia="微软雅黑"/>
          <w:b/>
          <w:sz w:val="21"/>
          <w:szCs w:val="21"/>
        </w:rPr>
        <w:t xml:space="preserve">. </w:t>
      </w:r>
      <w:r>
        <w:rPr>
          <w:rFonts w:hint="eastAsia" w:ascii="微软雅黑" w:hAnsi="微软雅黑" w:eastAsia="微软雅黑"/>
          <w:b/>
          <w:sz w:val="21"/>
          <w:szCs w:val="21"/>
        </w:rPr>
        <w:t>采光系数</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室内某一点的采光系数C，计算公式为：</w:t>
      </w:r>
    </w:p>
    <w:p>
      <w:pPr>
        <w:pStyle w:val="13"/>
        <w:spacing w:line="360" w:lineRule="auto"/>
        <w:ind w:firstLine="420"/>
        <w:rPr>
          <w:rFonts w:ascii="微软雅黑" w:hAnsi="微软雅黑" w:eastAsia="微软雅黑"/>
          <w:sz w:val="21"/>
          <w:szCs w:val="21"/>
        </w:rPr>
      </w:pPr>
      <w:r>
        <w:rPr>
          <w:rFonts w:ascii="微软雅黑" w:hAnsi="微软雅黑" w:eastAsia="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式中:  E</w:t>
      </w:r>
      <w:r>
        <w:rPr>
          <w:rFonts w:hint="eastAsia" w:ascii="微软雅黑" w:hAnsi="微软雅黑" w:eastAsia="微软雅黑"/>
          <w:sz w:val="21"/>
          <w:szCs w:val="21"/>
          <w:vertAlign w:val="subscript"/>
        </w:rPr>
        <w:t>n</w:t>
      </w:r>
      <w:r>
        <w:rPr>
          <w:rFonts w:hint="eastAsia" w:ascii="微软雅黑" w:hAnsi="微软雅黑" w:eastAsia="微软雅黑"/>
          <w:sz w:val="21"/>
          <w:szCs w:val="21"/>
        </w:rPr>
        <w:t>—室内照度，lx；</w:t>
      </w:r>
    </w:p>
    <w:p>
      <w:pPr>
        <w:pStyle w:val="13"/>
        <w:spacing w:line="360" w:lineRule="exact"/>
        <w:ind w:firstLine="1108" w:firstLineChars="528"/>
        <w:rPr>
          <w:rFonts w:ascii="微软雅黑" w:hAnsi="微软雅黑" w:eastAsia="微软雅黑"/>
          <w:sz w:val="21"/>
          <w:szCs w:val="21"/>
        </w:rPr>
      </w:pPr>
      <w:r>
        <w:rPr>
          <w:rFonts w:hint="eastAsia" w:ascii="微软雅黑" w:hAnsi="微软雅黑" w:eastAsia="微软雅黑"/>
          <w:sz w:val="21"/>
          <w:szCs w:val="21"/>
        </w:rPr>
        <w:t>E</w:t>
      </w:r>
      <w:r>
        <w:rPr>
          <w:rFonts w:hint="eastAsia" w:ascii="微软雅黑" w:hAnsi="微软雅黑" w:eastAsia="微软雅黑"/>
          <w:sz w:val="21"/>
          <w:szCs w:val="21"/>
          <w:vertAlign w:val="subscript"/>
        </w:rPr>
        <w:t>w</w:t>
      </w:r>
      <w:r>
        <w:rPr>
          <w:rFonts w:hint="eastAsia" w:ascii="微软雅黑" w:hAnsi="微软雅黑" w:eastAsia="微软雅黑"/>
          <w:sz w:val="21"/>
          <w:szCs w:val="21"/>
        </w:rPr>
        <w:t>—室外照度，lx。</w:t>
      </w:r>
    </w:p>
    <w:p>
      <w:pPr>
        <w:pStyle w:val="13"/>
        <w:spacing w:before="156" w:beforeLines="50" w:after="156" w:afterLines="50" w:line="360" w:lineRule="exact"/>
        <w:ind w:firstLine="426" w:firstLineChars="0"/>
        <w:rPr>
          <w:rFonts w:ascii="微软雅黑" w:hAnsi="微软雅黑" w:eastAsia="微软雅黑"/>
          <w:b/>
          <w:sz w:val="21"/>
          <w:szCs w:val="21"/>
        </w:rPr>
      </w:pPr>
      <w:bookmarkStart w:id="36" w:name="_Toc264043630"/>
      <w:bookmarkStart w:id="37" w:name="_Toc264569237"/>
      <w:bookmarkStart w:id="38" w:name="_Toc275165387"/>
      <w:bookmarkStart w:id="39" w:name="_Toc290209341"/>
      <w:bookmarkStart w:id="40" w:name="_Toc290149059"/>
      <w:bookmarkStart w:id="41" w:name="_Toc290209317"/>
      <w:bookmarkStart w:id="42" w:name="_Toc312399796"/>
      <w:r>
        <w:rPr>
          <w:rFonts w:hint="eastAsia" w:ascii="微软雅黑" w:hAnsi="微软雅黑" w:eastAsia="微软雅黑"/>
          <w:b/>
          <w:sz w:val="21"/>
          <w:szCs w:val="21"/>
        </w:rPr>
        <w:t>2</w:t>
      </w:r>
      <w:r>
        <w:rPr>
          <w:rFonts w:ascii="微软雅黑" w:hAnsi="微软雅黑" w:eastAsia="微软雅黑"/>
          <w:b/>
          <w:sz w:val="21"/>
          <w:szCs w:val="21"/>
        </w:rPr>
        <w:t xml:space="preserve">. </w:t>
      </w:r>
      <w:r>
        <w:rPr>
          <w:rFonts w:hint="eastAsia" w:ascii="微软雅黑" w:hAnsi="微软雅黑" w:eastAsia="微软雅黑"/>
          <w:b/>
          <w:sz w:val="21"/>
          <w:szCs w:val="21"/>
        </w:rPr>
        <w:t>平均采光系数</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eastAsia="微软雅黑"/>
          <w:b/>
          <w:sz w:val="21"/>
          <w:szCs w:val="21"/>
        </w:rPr>
      </w:pPr>
      <w:r>
        <w:rPr>
          <w:rFonts w:ascii="微软雅黑" w:hAnsi="微软雅黑" w:eastAsia="微软雅黑"/>
          <w:b/>
          <w:sz w:val="21"/>
          <w:szCs w:val="21"/>
        </w:rPr>
        <w:t>3</w:t>
      </w:r>
      <w:r>
        <w:rPr>
          <w:rFonts w:hint="eastAsia" w:ascii="微软雅黑" w:hAnsi="微软雅黑" w:eastAsia="微软雅黑"/>
          <w:b/>
          <w:sz w:val="21"/>
          <w:szCs w:val="21"/>
        </w:rPr>
        <w:t>.</w:t>
      </w:r>
      <w:r>
        <w:rPr>
          <w:rFonts w:ascii="微软雅黑" w:hAnsi="微软雅黑" w:eastAsia="微软雅黑"/>
          <w:b/>
          <w:sz w:val="21"/>
          <w:szCs w:val="21"/>
        </w:rPr>
        <w:t xml:space="preserve"> </w:t>
      </w:r>
      <w:r>
        <w:rPr>
          <w:rFonts w:hint="eastAsia" w:ascii="微软雅黑" w:hAnsi="微软雅黑" w:eastAsia="微软雅黑"/>
          <w:b/>
          <w:sz w:val="21"/>
          <w:szCs w:val="21"/>
        </w:rPr>
        <w:t>采光系数标准值</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规定的室外天然光设计照度下，满足视觉功能要求时的采光系数值。《建筑采光设计标准》GB 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3" w:name="_Toc6772"/>
      <w:r>
        <w:t>分析软件</w:t>
      </w:r>
      <w:bookmarkEnd w:id="36"/>
      <w:bookmarkEnd w:id="37"/>
      <w:bookmarkEnd w:id="38"/>
      <w:bookmarkEnd w:id="39"/>
      <w:bookmarkEnd w:id="40"/>
      <w:bookmarkEnd w:id="41"/>
      <w:bookmarkEnd w:id="42"/>
      <w:bookmarkEnd w:id="43"/>
    </w:p>
    <w:p>
      <w:pPr>
        <w:pStyle w:val="3"/>
        <w:ind w:firstLine="420" w:firstLineChars="200"/>
      </w:pPr>
      <w:bookmarkStart w:id="44"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 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5" w:name="_Toc23043"/>
      <w:r>
        <w:rPr>
          <w:rFonts w:hint="eastAsia"/>
        </w:rPr>
        <w:t>计算方法</w:t>
      </w:r>
      <w:bookmarkEnd w:id="44"/>
      <w:bookmarkEnd w:id="45"/>
    </w:p>
    <w:p>
      <w:pPr>
        <w:pStyle w:val="3"/>
        <w:spacing w:line="360" w:lineRule="exact"/>
        <w:ind w:firstLine="420"/>
        <w:rPr>
          <w:lang w:val="en-US"/>
        </w:rPr>
      </w:pPr>
      <w:r>
        <w:rPr>
          <w:rFonts w:hint="eastAsia"/>
        </w:rPr>
        <w:t>《建筑采光设计标准》GB</w:t>
      </w:r>
      <w:r>
        <w:t xml:space="preserve"> </w:t>
      </w:r>
      <w:r>
        <w:rPr>
          <w:rFonts w:hint="eastAsia"/>
        </w:rPr>
        <w:t>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Dali</w:t>
      </w:r>
      <w:r>
        <w:rPr>
          <w:rFonts w:hint="eastAsia" w:ascii="微软雅黑" w:hAnsi="微软雅黑" w:eastAsia="微软雅黑"/>
          <w:sz w:val="21"/>
          <w:szCs w:val="21"/>
        </w:rPr>
        <w:t>中</w:t>
      </w:r>
      <w:r>
        <w:rPr>
          <w:rFonts w:ascii="微软雅黑" w:hAnsi="微软雅黑" w:eastAsia="微软雅黑"/>
          <w:sz w:val="21"/>
          <w:szCs w:val="21"/>
        </w:rPr>
        <w:t>，</w:t>
      </w:r>
      <w:r>
        <w:rPr>
          <w:rFonts w:hint="eastAsia" w:ascii="微软雅黑" w:hAnsi="微软雅黑" w:eastAsia="微软雅黑"/>
          <w:sz w:val="21"/>
          <w:szCs w:val="21"/>
        </w:rPr>
        <w:t>模拟法就是调用计算工具Radi</w:t>
      </w:r>
      <w:r>
        <w:rPr>
          <w:rFonts w:ascii="微软雅黑" w:hAnsi="微软雅黑" w:eastAsia="微软雅黑"/>
          <w:sz w:val="21"/>
          <w:szCs w:val="21"/>
        </w:rPr>
        <w:t>ance</w:t>
      </w:r>
      <w:r>
        <w:rPr>
          <w:rFonts w:hint="eastAsia" w:ascii="微软雅黑" w:hAnsi="微软雅黑" w:eastAsia="微软雅黑"/>
          <w:sz w:val="21"/>
          <w:szCs w:val="21"/>
        </w:rPr>
        <w:t>进行</w:t>
      </w:r>
      <w:r>
        <w:rPr>
          <w:rFonts w:ascii="微软雅黑" w:hAnsi="微软雅黑" w:eastAsia="微软雅黑"/>
          <w:sz w:val="21"/>
          <w:szCs w:val="21"/>
        </w:rPr>
        <w:t>采光</w:t>
      </w:r>
      <w:r>
        <w:rPr>
          <w:rFonts w:hint="eastAsia" w:ascii="微软雅黑" w:hAnsi="微软雅黑" w:eastAsia="微软雅黑"/>
          <w:sz w:val="21"/>
          <w:szCs w:val="21"/>
        </w:rPr>
        <w:t>模拟计算，最后将计算结果返回到</w:t>
      </w:r>
      <w:r>
        <w:rPr>
          <w:rFonts w:ascii="微软雅黑" w:hAnsi="微软雅黑" w:eastAsia="微软雅黑"/>
          <w:sz w:val="21"/>
          <w:szCs w:val="21"/>
        </w:rPr>
        <w:t>Dali</w:t>
      </w:r>
      <w:r>
        <w:rPr>
          <w:rFonts w:hint="eastAsia" w:ascii="微软雅黑" w:hAnsi="微软雅黑" w:eastAsia="微软雅黑"/>
          <w:sz w:val="21"/>
          <w:szCs w:val="21"/>
        </w:rPr>
        <w:t>进行处理分析，</w:t>
      </w:r>
      <w:r>
        <w:rPr>
          <w:rFonts w:ascii="微软雅黑" w:hAnsi="微软雅黑" w:eastAsia="微软雅黑"/>
          <w:sz w:val="21"/>
          <w:szCs w:val="21"/>
        </w:rPr>
        <w:t>这是最真实、最常用的方法</w:t>
      </w:r>
      <w:r>
        <w:rPr>
          <w:rFonts w:hint="eastAsia" w:ascii="微软雅黑" w:hAnsi="微软雅黑" w:eastAsia="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eastAsia="微软雅黑"/>
          <w:sz w:val="21"/>
          <w:szCs w:val="21"/>
        </w:rPr>
      </w:pPr>
      <w:r>
        <w:rPr>
          <w:rFonts w:hint="eastAsia" w:ascii="微软雅黑" w:hAnsi="微软雅黑" w:eastAsia="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pPr>
      <w:bookmarkStart w:id="46" w:name="_Toc11933"/>
      <w:r>
        <w:rPr>
          <w:rFonts w:hint="eastAsia"/>
        </w:rPr>
        <w:t>采光计算</w:t>
      </w:r>
      <w:r>
        <w:t>参数</w:t>
      </w:r>
      <w:r>
        <w:rPr>
          <w:rFonts w:hint="eastAsia"/>
        </w:rPr>
        <w:t>取值</w:t>
      </w:r>
      <w:bookmarkEnd w:id="46"/>
    </w:p>
    <w:p>
      <w:pPr>
        <w:pStyle w:val="4"/>
      </w:pPr>
      <w:bookmarkStart w:id="47" w:name="_Toc275165386"/>
      <w:bookmarkStart w:id="48" w:name="_Toc264043629"/>
      <w:bookmarkStart w:id="49" w:name="_Toc264569236"/>
      <w:bookmarkStart w:id="50" w:name="_Toc290209340"/>
      <w:bookmarkStart w:id="51" w:name="_Toc312399795"/>
      <w:bookmarkStart w:id="52" w:name="_Toc290209316"/>
      <w:bookmarkStart w:id="53" w:name="_Toc290149058"/>
      <w:bookmarkStart w:id="54" w:name="_Toc31275"/>
      <w:r>
        <w:t>模拟</w:t>
      </w:r>
      <w:bookmarkEnd w:id="47"/>
      <w:bookmarkEnd w:id="48"/>
      <w:bookmarkEnd w:id="49"/>
      <w:bookmarkEnd w:id="50"/>
      <w:bookmarkEnd w:id="51"/>
      <w:bookmarkEnd w:id="52"/>
      <w:bookmarkEnd w:id="53"/>
      <w:r>
        <w:rPr>
          <w:rFonts w:hint="eastAsia"/>
        </w:rPr>
        <w:t>分析条件说明</w:t>
      </w:r>
      <w:bookmarkEnd w:id="54"/>
    </w:p>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天空模型</w:t>
      </w:r>
      <w:r>
        <w:rPr>
          <w:rFonts w:hint="eastAsia" w:ascii="微软雅黑" w:hAnsi="微软雅黑" w:eastAsia="微软雅黑"/>
          <w:sz w:val="21"/>
          <w:szCs w:val="21"/>
        </w:rPr>
        <w:t>：</w:t>
      </w:r>
      <w:r>
        <w:rPr>
          <w:rFonts w:ascii="微软雅黑" w:hAnsi="微软雅黑" w:eastAsia="微软雅黑"/>
          <w:sz w:val="21"/>
          <w:szCs w:val="21"/>
        </w:rPr>
        <w:t>CIE</w:t>
      </w:r>
      <w:r>
        <w:rPr>
          <w:rFonts w:hint="eastAsia" w:ascii="微软雅黑" w:hAnsi="微软雅黑" w:eastAsia="微软雅黑"/>
          <w:sz w:val="21"/>
          <w:szCs w:val="21"/>
        </w:rPr>
        <w:t>全阴天天空；</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计算</w:t>
      </w:r>
      <w:r>
        <w:rPr>
          <w:rFonts w:ascii="微软雅黑" w:hAnsi="微软雅黑" w:eastAsia="微软雅黑"/>
          <w:b/>
          <w:sz w:val="21"/>
          <w:szCs w:val="21"/>
        </w:rPr>
        <w:t>光线反射次数</w:t>
      </w:r>
      <w:r>
        <w:rPr>
          <w:rFonts w:ascii="微软雅黑" w:hAnsi="微软雅黑" w:eastAsia="微软雅黑"/>
          <w:sz w:val="21"/>
          <w:szCs w:val="21"/>
        </w:rPr>
        <w:t>：</w:t>
      </w:r>
      <w:bookmarkStart w:id="55" w:name="光线反射次数"/>
      <w:r>
        <w:t>3</w:t>
      </w:r>
      <w:bookmarkEnd w:id="55"/>
      <w:r>
        <w:rPr>
          <w:rFonts w:ascii="微软雅黑" w:hAnsi="微软雅黑" w:eastAsia="微软雅黑"/>
          <w:sz w:val="21"/>
          <w:szCs w:val="21"/>
        </w:rPr>
        <w:t>次</w:t>
      </w:r>
      <w:r>
        <w:rPr>
          <w:rFonts w:hint="eastAsia" w:ascii="微软雅黑" w:hAnsi="微软雅黑" w:eastAsia="微软雅黑"/>
          <w:sz w:val="21"/>
          <w:szCs w:val="21"/>
        </w:rPr>
        <w:t>；</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分析参考平面</w:t>
      </w:r>
      <w:r>
        <w:rPr>
          <w:rFonts w:hint="eastAsia" w:ascii="微软雅黑" w:hAnsi="微软雅黑" w:eastAsia="微软雅黑"/>
          <w:sz w:val="21"/>
          <w:szCs w:val="21"/>
        </w:rPr>
        <w:t>：功能房间取距地面</w:t>
      </w:r>
      <w:bookmarkStart w:id="56" w:name="分析面高"/>
      <w:r>
        <w:rPr>
          <w:rFonts w:hint="eastAsia" w:ascii="微软雅黑" w:hAnsi="微软雅黑" w:eastAsia="微软雅黑"/>
          <w:sz w:val="21"/>
          <w:szCs w:val="21"/>
        </w:rPr>
        <w:t>0.75</w:t>
      </w:r>
      <w:bookmarkEnd w:id="56"/>
      <w:r>
        <w:rPr>
          <w:rFonts w:ascii="微软雅黑" w:hAnsi="微软雅黑" w:eastAsia="微软雅黑"/>
          <w:sz w:val="21"/>
          <w:szCs w:val="21"/>
        </w:rPr>
        <w:t>m</w:t>
      </w:r>
      <w:r>
        <w:rPr>
          <w:rFonts w:hint="eastAsia" w:ascii="微软雅黑" w:hAnsi="微软雅黑" w:eastAsia="微软雅黑"/>
          <w:sz w:val="21"/>
          <w:szCs w:val="21"/>
        </w:rPr>
        <w:t>，公共空间取地面；</w:t>
      </w:r>
    </w:p>
    <w:p>
      <w:pPr>
        <w:pStyle w:val="13"/>
        <w:spacing w:after="156" w:afterLines="50" w:line="360" w:lineRule="exact"/>
        <w:ind w:firstLine="420"/>
        <w:rPr>
          <w:rFonts w:ascii="微软雅黑" w:hAnsi="微软雅黑" w:eastAsia="微软雅黑"/>
          <w:sz w:val="21"/>
          <w:szCs w:val="21"/>
        </w:rPr>
      </w:pPr>
      <w:r>
        <w:rPr>
          <w:rFonts w:hint="eastAsia" w:ascii="微软雅黑" w:hAnsi="微软雅黑" w:eastAsia="微软雅黑"/>
          <w:b/>
          <w:sz w:val="21"/>
          <w:szCs w:val="21"/>
        </w:rPr>
        <w:t>分析计算网格划分的间距</w:t>
      </w:r>
      <w:r>
        <w:rPr>
          <w:rFonts w:hint="eastAsia" w:ascii="微软雅黑" w:hAnsi="微软雅黑" w:eastAsia="微软雅黑"/>
          <w:sz w:val="21"/>
          <w:szCs w:val="21"/>
        </w:rPr>
        <w:t>：根据</w:t>
      </w:r>
      <w:r>
        <w:rPr>
          <w:rFonts w:ascii="微软雅黑" w:hAnsi="微软雅黑" w:eastAsia="微软雅黑"/>
          <w:sz w:val="21"/>
          <w:szCs w:val="21"/>
        </w:rPr>
        <w:t>房间面积</w:t>
      </w:r>
      <w:r>
        <w:rPr>
          <w:rFonts w:hint="eastAsia" w:ascii="微软雅黑" w:hAnsi="微软雅黑" w:eastAsia="微软雅黑"/>
          <w:sz w:val="21"/>
          <w:szCs w:val="21"/>
        </w:rPr>
        <w:t>规模大小</w:t>
      </w:r>
      <w:r>
        <w:rPr>
          <w:rFonts w:ascii="微软雅黑" w:hAnsi="微软雅黑" w:eastAsia="微软雅黑"/>
          <w:sz w:val="21"/>
          <w:szCs w:val="21"/>
        </w:rPr>
        <w:t>对网格进行合理划分，</w:t>
      </w:r>
      <w:r>
        <w:rPr>
          <w:rFonts w:hint="eastAsia" w:ascii="微软雅黑" w:hAnsi="微软雅黑" w:eastAsia="微软雅黑"/>
          <w:sz w:val="21"/>
          <w:szCs w:val="21"/>
        </w:rPr>
        <w:t>如</w:t>
      </w:r>
      <w:r>
        <w:rPr>
          <w:rFonts w:ascii="微软雅黑" w:hAnsi="微软雅黑" w:eastAsia="微软雅黑"/>
          <w:sz w:val="21"/>
          <w:szCs w:val="21"/>
        </w:rPr>
        <w:t>下表所示</w:t>
      </w:r>
      <w:r>
        <w:rPr>
          <w:rFonts w:hint="eastAsia" w:ascii="微软雅黑" w:hAnsi="微软雅黑" w:eastAsia="微软雅黑"/>
          <w:sz w:val="21"/>
          <w:szCs w:val="21"/>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7" w:name="网格划分小房间面积"/>
            <w:r>
              <w:rPr>
                <w:rFonts w:hint="eastAsia"/>
              </w:rPr>
              <w:t>10</w:t>
            </w:r>
            <w:bookmarkEnd w:id="57"/>
          </w:p>
        </w:tc>
        <w:tc>
          <w:tcPr>
            <w:tcW w:w="3272" w:type="dxa"/>
            <w:shd w:val="clear" w:color="auto" w:fill="auto"/>
            <w:vAlign w:val="center"/>
          </w:tcPr>
          <w:p>
            <w:bookmarkStart w:id="58" w:name="小房间网格大小"/>
            <w:r>
              <w:rPr>
                <w:rFonts w:hint="eastAsia"/>
              </w:rPr>
              <w:t>0.25</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59" w:name="网格划分房间面积"/>
            <w:r>
              <w:rPr>
                <w:rFonts w:hint="eastAsia"/>
              </w:rPr>
              <w:t>10~100</w:t>
            </w:r>
            <w:bookmarkEnd w:id="59"/>
          </w:p>
        </w:tc>
        <w:tc>
          <w:tcPr>
            <w:tcW w:w="3272" w:type="dxa"/>
            <w:shd w:val="clear" w:color="auto" w:fill="auto"/>
            <w:vAlign w:val="center"/>
          </w:tcPr>
          <w:p>
            <w:bookmarkStart w:id="60" w:name="网格大小"/>
            <w:r>
              <w:rPr>
                <w:rFonts w:hint="eastAsia"/>
              </w:rPr>
              <w:t>0.50</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1" w:name="网格划分大房间面积"/>
            <w:r>
              <w:rPr>
                <w:rFonts w:hint="eastAsia"/>
              </w:rPr>
              <w:t>100</w:t>
            </w:r>
            <w:bookmarkEnd w:id="61"/>
          </w:p>
        </w:tc>
        <w:tc>
          <w:tcPr>
            <w:tcW w:w="3272" w:type="dxa"/>
            <w:shd w:val="clear" w:color="auto" w:fill="auto"/>
            <w:vAlign w:val="center"/>
          </w:tcPr>
          <w:p>
            <w:bookmarkStart w:id="62" w:name="大房间网格大小"/>
            <w:r>
              <w:rPr>
                <w:rFonts w:hint="eastAsia"/>
              </w:rPr>
              <w:t>1.00</w:t>
            </w:r>
            <w:bookmarkEnd w:id="62"/>
          </w:p>
        </w:tc>
      </w:tr>
    </w:tbl>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周边环境：</w:t>
      </w:r>
      <w:r>
        <w:rPr>
          <w:rFonts w:hint="eastAsia" w:ascii="微软雅黑" w:hAnsi="微软雅黑" w:eastAsia="微软雅黑"/>
          <w:sz w:val="21"/>
          <w:szCs w:val="21"/>
        </w:rPr>
        <w:t>考虑分析区内的建筑物之间遮挡；</w:t>
      </w:r>
    </w:p>
    <w:p>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室内环境：</w:t>
      </w:r>
      <w:r>
        <w:rPr>
          <w:rFonts w:hint="eastAsia" w:ascii="微软雅黑" w:hAnsi="微软雅黑" w:eastAsia="微软雅黑"/>
          <w:sz w:val="21"/>
          <w:szCs w:val="21"/>
        </w:rPr>
        <w:t>忽略室内家具类设施的影响，只考虑永久固定的顶棚、地面和墙面。</w:t>
      </w:r>
    </w:p>
    <w:p>
      <w:pPr>
        <w:pStyle w:val="4"/>
      </w:pPr>
      <w:bookmarkStart w:id="63" w:name="_Toc29152"/>
      <w:r>
        <w:rPr>
          <w:rFonts w:hint="eastAsia"/>
        </w:rPr>
        <w:t>建筑饰面材料参数</w:t>
      </w:r>
      <w:bookmarkEnd w:id="63"/>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rPr>
                <w:lang w:val="en-US"/>
              </w:rPr>
            </w:pPr>
            <w:r>
              <w:rPr>
                <w:rFonts w:hint="eastAsia"/>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r>
              <w:rPr>
                <w:rFonts w:hint="eastAsia"/>
              </w:rPr>
              <w:t>部位</w:t>
            </w:r>
          </w:p>
        </w:tc>
        <w:tc>
          <w:tcPr>
            <w:tcW w:w="3398" w:type="dxa"/>
            <w:tcBorders>
              <w:top w:val="single" w:color="auto" w:sz="4" w:space="0"/>
              <w:bottom w:val="single" w:color="auto" w:sz="4" w:space="0"/>
            </w:tcBorders>
            <w:shd w:val="clear" w:color="auto" w:fill="E6E6E6"/>
            <w:vAlign w:val="center"/>
          </w:tcPr>
          <w:p>
            <w:r>
              <w:rPr>
                <w:rFonts w:hint="eastAsia"/>
              </w:rPr>
              <w:t>反射比材料设计取值</w:t>
            </w:r>
          </w:p>
        </w:tc>
        <w:tc>
          <w:tcPr>
            <w:tcW w:w="3460" w:type="dxa"/>
            <w:tcBorders>
              <w:top w:val="single" w:color="auto" w:sz="4" w:space="0"/>
              <w:bottom w:val="single" w:color="auto" w:sz="4" w:space="0"/>
            </w:tcBorders>
            <w:shd w:val="clear" w:color="auto" w:fill="E6E6E6"/>
            <w:vAlign w:val="center"/>
          </w:tcPr>
          <w:p>
            <w:pPr>
              <w:rPr>
                <w:sz w:val="21"/>
                <w:szCs w:val="21"/>
              </w:rPr>
            </w:pPr>
            <w:r>
              <w:rPr>
                <w:rFonts w:hint="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r>
              <w:rPr>
                <w:rFonts w:hint="eastAsia"/>
              </w:rPr>
              <w:t>顶棚</w:t>
            </w:r>
          </w:p>
        </w:tc>
        <w:tc>
          <w:tcPr>
            <w:tcW w:w="3398" w:type="dxa"/>
            <w:tcBorders>
              <w:top w:val="single" w:color="auto" w:sz="4" w:space="0"/>
            </w:tcBorders>
            <w:shd w:val="clear" w:color="auto" w:fill="auto"/>
            <w:vAlign w:val="center"/>
          </w:tcPr>
          <w:p>
            <w:bookmarkStart w:id="64" w:name="顶棚反射比"/>
            <w:r>
              <w:rPr>
                <w:rFonts w:hint="eastAsia"/>
              </w:rPr>
              <w:t>0.84</w:t>
            </w:r>
            <w:bookmarkEnd w:id="64"/>
          </w:p>
        </w:tc>
        <w:tc>
          <w:tcPr>
            <w:tcW w:w="3460" w:type="dxa"/>
            <w:tcBorders>
              <w:top w:val="single" w:color="auto" w:sz="4" w:space="0"/>
            </w:tcBorders>
            <w:shd w:val="clear" w:color="auto" w:fill="auto"/>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r>
              <w:rPr>
                <w:rFonts w:hint="eastAsia"/>
              </w:rPr>
              <w:t>地面</w:t>
            </w:r>
          </w:p>
        </w:tc>
        <w:tc>
          <w:tcPr>
            <w:tcW w:w="3398" w:type="dxa"/>
            <w:tcBorders>
              <w:top w:val="single" w:color="auto" w:sz="4" w:space="0"/>
            </w:tcBorders>
            <w:shd w:val="clear" w:color="auto" w:fill="auto"/>
            <w:vAlign w:val="center"/>
          </w:tcPr>
          <w:p>
            <w:bookmarkStart w:id="65" w:name="地面反射比"/>
            <w:r>
              <w:rPr>
                <w:rFonts w:hint="eastAsia"/>
              </w:rPr>
              <w:t>0.60</w:t>
            </w:r>
            <w:bookmarkEnd w:id="65"/>
          </w:p>
        </w:tc>
        <w:tc>
          <w:tcPr>
            <w:tcW w:w="3460" w:type="dxa"/>
            <w:tcBorders>
              <w:top w:val="single" w:color="auto" w:sz="4" w:space="0"/>
            </w:tcBorders>
            <w:shd w:val="clear" w:color="auto" w:fill="auto"/>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r>
              <w:rPr>
                <w:rFonts w:hint="eastAsia"/>
              </w:rPr>
              <w:t>墙面</w:t>
            </w:r>
          </w:p>
        </w:tc>
        <w:tc>
          <w:tcPr>
            <w:tcW w:w="3398" w:type="dxa"/>
            <w:tcBorders>
              <w:top w:val="single" w:color="auto" w:sz="4" w:space="0"/>
            </w:tcBorders>
            <w:shd w:val="clear" w:color="auto" w:fill="auto"/>
            <w:vAlign w:val="center"/>
          </w:tcPr>
          <w:p>
            <w:bookmarkStart w:id="66" w:name="墙面反射比"/>
            <w:r>
              <w:rPr>
                <w:rFonts w:hint="eastAsia"/>
              </w:rPr>
              <w:t>0.84</w:t>
            </w:r>
            <w:bookmarkEnd w:id="66"/>
          </w:p>
        </w:tc>
        <w:tc>
          <w:tcPr>
            <w:tcW w:w="3460" w:type="dxa"/>
            <w:tcBorders>
              <w:top w:val="single" w:color="auto" w:sz="4" w:space="0"/>
            </w:tcBorders>
            <w:shd w:val="clear" w:color="auto" w:fill="auto"/>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r>
              <w:rPr>
                <w:rFonts w:hint="eastAsia"/>
              </w:rPr>
              <w:t>外表面</w:t>
            </w:r>
          </w:p>
        </w:tc>
        <w:tc>
          <w:tcPr>
            <w:tcW w:w="3398" w:type="dxa"/>
            <w:tcBorders>
              <w:top w:val="single" w:color="auto" w:sz="4" w:space="0"/>
            </w:tcBorders>
            <w:shd w:val="clear" w:color="auto" w:fill="auto"/>
            <w:vAlign w:val="center"/>
          </w:tcPr>
          <w:p>
            <w:bookmarkStart w:id="67" w:name="外表面反射比"/>
            <w:r>
              <w:rPr>
                <w:rFonts w:hint="eastAsia"/>
              </w:rPr>
              <w:t>0.57</w:t>
            </w:r>
            <w:bookmarkEnd w:id="67"/>
          </w:p>
        </w:tc>
        <w:tc>
          <w:tcPr>
            <w:tcW w:w="3460" w:type="dxa"/>
            <w:tcBorders>
              <w:top w:val="single" w:color="auto" w:sz="4" w:space="0"/>
            </w:tcBorders>
            <w:shd w:val="clear" w:color="auto" w:fill="auto"/>
            <w:vAlign w:val="center"/>
          </w:tcPr>
          <w:p>
            <w:pPr>
              <w:rPr>
                <w:sz w:val="21"/>
                <w:szCs w:val="21"/>
              </w:rPr>
            </w:pPr>
          </w:p>
        </w:tc>
      </w:tr>
    </w:tbl>
    <w:p>
      <w:pPr>
        <w:pStyle w:val="13"/>
        <w:spacing w:line="360" w:lineRule="auto"/>
        <w:ind w:firstLine="360"/>
        <w:rPr>
          <w:rFonts w:ascii="微软雅黑" w:hAnsi="微软雅黑" w:eastAsia="微软雅黑"/>
          <w:sz w:val="18"/>
          <w:szCs w:val="18"/>
        </w:rPr>
      </w:pPr>
      <w:r>
        <w:rPr>
          <w:rFonts w:ascii="微软雅黑" w:hAnsi="微软雅黑" w:eastAsia="微软雅黑"/>
          <w:sz w:val="18"/>
          <w:szCs w:val="18"/>
        </w:rPr>
        <w:t>注</w:t>
      </w:r>
      <w:r>
        <w:rPr>
          <w:rFonts w:hint="eastAsia" w:ascii="微软雅黑" w:hAnsi="微软雅黑" w:eastAsia="微软雅黑"/>
          <w:sz w:val="18"/>
          <w:szCs w:val="18"/>
        </w:rPr>
        <w:t>1</w:t>
      </w:r>
      <w:r>
        <w:rPr>
          <w:rFonts w:ascii="微软雅黑" w:hAnsi="微软雅黑" w:eastAsia="微软雅黑"/>
          <w:sz w:val="18"/>
          <w:szCs w:val="18"/>
        </w:rPr>
        <w:t>：</w:t>
      </w:r>
      <w:r>
        <w:rPr>
          <w:rFonts w:hint="eastAsia" w:ascii="微软雅黑" w:hAnsi="微软雅黑" w:eastAsia="微软雅黑"/>
          <w:sz w:val="18"/>
          <w:szCs w:val="18"/>
        </w:rPr>
        <w:t>数据参考自：《建筑采光设计标准》</w:t>
      </w:r>
      <w:r>
        <w:rPr>
          <w:rFonts w:ascii="微软雅黑" w:hAnsi="微软雅黑" w:eastAsia="微软雅黑"/>
          <w:sz w:val="18"/>
          <w:szCs w:val="18"/>
        </w:rPr>
        <w:t>GB 50033-2013</w:t>
      </w:r>
      <w:r>
        <w:rPr>
          <w:rFonts w:hint="eastAsia" w:ascii="微软雅黑" w:hAnsi="微软雅黑" w:eastAsia="微软雅黑"/>
          <w:sz w:val="18"/>
          <w:szCs w:val="18"/>
        </w:rPr>
        <w:t>附录</w:t>
      </w:r>
      <w:r>
        <w:rPr>
          <w:rFonts w:ascii="微软雅黑" w:hAnsi="微软雅黑" w:eastAsia="微软雅黑"/>
          <w:sz w:val="18"/>
          <w:szCs w:val="18"/>
        </w:rPr>
        <w:t>D</w:t>
      </w:r>
      <w:r>
        <w:rPr>
          <w:rFonts w:hint="eastAsia" w:ascii="微软雅黑" w:hAnsi="微软雅黑" w:eastAsia="微软雅黑"/>
          <w:sz w:val="18"/>
          <w:szCs w:val="18"/>
        </w:rPr>
        <w:t xml:space="preserve"> 表D.0.5；</w:t>
      </w:r>
      <w:r>
        <w:rPr>
          <w:rFonts w:hint="eastAsia" w:ascii="微软雅黑" w:hAnsi="微软雅黑" w:eastAsia="微软雅黑"/>
          <w:szCs w:val="21"/>
        </w:rPr>
        <w:tab/>
      </w:r>
    </w:p>
    <w:p>
      <w:pPr>
        <w:pStyle w:val="4"/>
      </w:pPr>
      <w:bookmarkStart w:id="68" w:name="_Toc6228"/>
      <w:r>
        <w:rPr>
          <w:rFonts w:hint="eastAsia"/>
        </w:rPr>
        <w:t>门窗类型参数</w:t>
      </w:r>
      <w:bookmarkEnd w:id="68"/>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5"/>
      </w:pPr>
      <w:bookmarkStart w:id="69" w:name="_Toc26161"/>
      <w:bookmarkStart w:id="70" w:name="门"/>
      <w:r>
        <w:rPr>
          <w:rFonts w:hint="eastAsia"/>
        </w:rPr>
        <w:t>透光门</w:t>
      </w:r>
      <w:bookmarkEnd w:id="69"/>
    </w:p>
    <w:bookmarkEnd w:id="70"/>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03"/>
        <w:gridCol w:w="1103"/>
        <w:gridCol w:w="1103"/>
        <w:gridCol w:w="1075"/>
        <w:gridCol w:w="1075"/>
        <w:gridCol w:w="1075"/>
        <w:gridCol w:w="1488"/>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挡光系数</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M1627</w:t>
            </w:r>
          </w:p>
        </w:tc>
        <w:tc>
          <w:tcPr>
            <w:vAlign w:val="center"/>
          </w:tcPr>
          <w:p>
            <w:r>
              <w:t>1600</w:t>
            </w:r>
          </w:p>
        </w:tc>
        <w:tc>
          <w:tcPr>
            <w:vAlign w:val="center"/>
          </w:tcPr>
          <w:p>
            <w:r>
              <w:t>2700</w:t>
            </w:r>
          </w:p>
        </w:tc>
        <w:tc>
          <w:tcPr>
            <w:vAlign w:val="center"/>
          </w:tcPr>
          <w:p>
            <w:r>
              <w:t>0.50</w:t>
            </w:r>
          </w:p>
        </w:tc>
        <w:tc>
          <w:tcPr>
            <w:vAlign w:val="center"/>
          </w:tcPr>
          <w:p>
            <w:r>
              <w:t>单层铝窗</w:t>
            </w:r>
          </w:p>
        </w:tc>
        <w:tc>
          <w:tcPr>
            <w:vAlign w:val="center"/>
          </w:tcPr>
          <w:p>
            <w:r>
              <w:t>普通白玻</w:t>
            </w:r>
          </w:p>
        </w:tc>
        <w:tc>
          <w:tcPr>
            <w:vAlign w:val="center"/>
          </w:tcPr>
          <w:p>
            <w:r>
              <w:t>0.89</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M1701</w:t>
            </w:r>
          </w:p>
        </w:tc>
        <w:tc>
          <w:tcPr>
            <w:vAlign w:val="center"/>
          </w:tcPr>
          <w:p>
            <w:r>
              <w:t>800</w:t>
            </w:r>
          </w:p>
        </w:tc>
        <w:tc>
          <w:tcPr>
            <w:vAlign w:val="center"/>
          </w:tcPr>
          <w:p>
            <w:r>
              <w:t>2100</w:t>
            </w:r>
          </w:p>
        </w:tc>
        <w:tc>
          <w:tcPr>
            <w:vAlign w:val="center"/>
          </w:tcPr>
          <w:p>
            <w:r>
              <w:t>0.50</w:t>
            </w:r>
          </w:p>
        </w:tc>
        <w:tc>
          <w:tcPr>
            <w:vAlign w:val="center"/>
          </w:tcPr>
          <w:p>
            <w:r>
              <w:t>单层铝窗</w:t>
            </w:r>
          </w:p>
        </w:tc>
        <w:tc>
          <w:tcPr>
            <w:vAlign w:val="center"/>
          </w:tcPr>
          <w:p>
            <w:r>
              <w:t>普通白玻</w:t>
            </w:r>
          </w:p>
        </w:tc>
        <w:tc>
          <w:tcPr>
            <w:vAlign w:val="center"/>
          </w:tcPr>
          <w:p>
            <w:r>
              <w:t>0.89</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M1702</w:t>
            </w:r>
          </w:p>
        </w:tc>
        <w:tc>
          <w:tcPr>
            <w:vAlign w:val="center"/>
          </w:tcPr>
          <w:p>
            <w:r>
              <w:t>750</w:t>
            </w:r>
          </w:p>
        </w:tc>
        <w:tc>
          <w:tcPr>
            <w:vAlign w:val="center"/>
          </w:tcPr>
          <w:p>
            <w:r>
              <w:t>2100</w:t>
            </w:r>
          </w:p>
        </w:tc>
        <w:tc>
          <w:tcPr>
            <w:vAlign w:val="center"/>
          </w:tcPr>
          <w:p>
            <w:r>
              <w:t>0.50</w:t>
            </w:r>
          </w:p>
        </w:tc>
        <w:tc>
          <w:tcPr>
            <w:vAlign w:val="center"/>
          </w:tcPr>
          <w:p>
            <w:r>
              <w:t>单层铝窗</w:t>
            </w:r>
          </w:p>
        </w:tc>
        <w:tc>
          <w:tcPr>
            <w:vAlign w:val="center"/>
          </w:tcPr>
          <w:p>
            <w:r>
              <w:t>普通白玻</w:t>
            </w:r>
          </w:p>
        </w:tc>
        <w:tc>
          <w:tcPr>
            <w:vAlign w:val="center"/>
          </w:tcPr>
          <w:p>
            <w:r>
              <w:t>0.89</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M1703</w:t>
            </w:r>
          </w:p>
        </w:tc>
        <w:tc>
          <w:tcPr>
            <w:vAlign w:val="center"/>
          </w:tcPr>
          <w:p>
            <w:r>
              <w:t>900</w:t>
            </w:r>
          </w:p>
        </w:tc>
        <w:tc>
          <w:tcPr>
            <w:vAlign w:val="center"/>
          </w:tcPr>
          <w:p>
            <w:r>
              <w:t>1650</w:t>
            </w:r>
          </w:p>
        </w:tc>
        <w:tc>
          <w:tcPr>
            <w:vAlign w:val="center"/>
          </w:tcPr>
          <w:p>
            <w:r>
              <w:t>0.50</w:t>
            </w:r>
          </w:p>
        </w:tc>
        <w:tc>
          <w:tcPr>
            <w:vAlign w:val="center"/>
          </w:tcPr>
          <w:p>
            <w:r>
              <w:t>单层铝窗</w:t>
            </w:r>
          </w:p>
        </w:tc>
        <w:tc>
          <w:tcPr>
            <w:vAlign w:val="center"/>
          </w:tcPr>
          <w:p>
            <w:r>
              <w:t>普通白玻</w:t>
            </w:r>
          </w:p>
        </w:tc>
        <w:tc>
          <w:tcPr>
            <w:vAlign w:val="center"/>
          </w:tcPr>
          <w:p>
            <w:r>
              <w:t>0.89</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M1709</w:t>
            </w:r>
          </w:p>
        </w:tc>
        <w:tc>
          <w:tcPr>
            <w:vAlign w:val="center"/>
          </w:tcPr>
          <w:p>
            <w:r>
              <w:t>1500</w:t>
            </w:r>
          </w:p>
        </w:tc>
        <w:tc>
          <w:tcPr>
            <w:vAlign w:val="center"/>
          </w:tcPr>
          <w:p>
            <w:r>
              <w:t>2100</w:t>
            </w:r>
          </w:p>
        </w:tc>
        <w:tc>
          <w:tcPr>
            <w:vAlign w:val="center"/>
          </w:tcPr>
          <w:p>
            <w:r>
              <w:t>0.50</w:t>
            </w:r>
          </w:p>
        </w:tc>
        <w:tc>
          <w:tcPr>
            <w:vAlign w:val="center"/>
          </w:tcPr>
          <w:p>
            <w:r>
              <w:t>单层铝窗</w:t>
            </w:r>
          </w:p>
        </w:tc>
        <w:tc>
          <w:tcPr>
            <w:vAlign w:val="center"/>
          </w:tcPr>
          <w:p>
            <w:r>
              <w:t>普通白玻</w:t>
            </w:r>
          </w:p>
        </w:tc>
        <w:tc>
          <w:tcPr>
            <w:vAlign w:val="center"/>
          </w:tcPr>
          <w:p>
            <w:r>
              <w:t>0.89</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M1821</w:t>
            </w:r>
          </w:p>
        </w:tc>
        <w:tc>
          <w:tcPr>
            <w:vAlign w:val="center"/>
          </w:tcPr>
          <w:p>
            <w:r>
              <w:t>1800</w:t>
            </w:r>
          </w:p>
        </w:tc>
        <w:tc>
          <w:tcPr>
            <w:vAlign w:val="center"/>
          </w:tcPr>
          <w:p>
            <w:r>
              <w:t>2100</w:t>
            </w:r>
          </w:p>
        </w:tc>
        <w:tc>
          <w:tcPr>
            <w:vAlign w:val="center"/>
          </w:tcPr>
          <w:p>
            <w:r>
              <w:t>0.50</w:t>
            </w:r>
          </w:p>
        </w:tc>
        <w:tc>
          <w:tcPr>
            <w:vAlign w:val="center"/>
          </w:tcPr>
          <w:p>
            <w:r>
              <w:t>单层铝窗</w:t>
            </w:r>
          </w:p>
        </w:tc>
        <w:tc>
          <w:tcPr>
            <w:vAlign w:val="center"/>
          </w:tcPr>
          <w:p>
            <w:r>
              <w:t>普通白玻</w:t>
            </w:r>
          </w:p>
        </w:tc>
        <w:tc>
          <w:tcPr>
            <w:vAlign w:val="center"/>
          </w:tcPr>
          <w:p>
            <w:r>
              <w:t>0.89</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M6026</w:t>
            </w:r>
          </w:p>
        </w:tc>
        <w:tc>
          <w:tcPr>
            <w:vAlign w:val="center"/>
          </w:tcPr>
          <w:p>
            <w:r>
              <w:t>6000</w:t>
            </w:r>
          </w:p>
        </w:tc>
        <w:tc>
          <w:tcPr>
            <w:vAlign w:val="center"/>
          </w:tcPr>
          <w:p>
            <w:r>
              <w:t>2600</w:t>
            </w:r>
          </w:p>
        </w:tc>
        <w:tc>
          <w:tcPr>
            <w:vAlign w:val="center"/>
          </w:tcPr>
          <w:p>
            <w:r>
              <w:t>0.50</w:t>
            </w:r>
          </w:p>
        </w:tc>
        <w:tc>
          <w:tcPr>
            <w:vAlign w:val="center"/>
          </w:tcPr>
          <w:p>
            <w:r>
              <w:t>单层铝窗</w:t>
            </w:r>
          </w:p>
        </w:tc>
        <w:tc>
          <w:tcPr>
            <w:vAlign w:val="center"/>
          </w:tcPr>
          <w:p>
            <w:r>
              <w:t>普通白玻</w:t>
            </w:r>
          </w:p>
        </w:tc>
        <w:tc>
          <w:tcPr>
            <w:vAlign w:val="center"/>
          </w:tcPr>
          <w:p>
            <w:r>
              <w:t>0.89</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YM1712</w:t>
            </w:r>
          </w:p>
        </w:tc>
        <w:tc>
          <w:tcPr>
            <w:vAlign w:val="center"/>
          </w:tcPr>
          <w:p>
            <w:r>
              <w:t>3200</w:t>
            </w:r>
          </w:p>
        </w:tc>
        <w:tc>
          <w:tcPr>
            <w:vAlign w:val="center"/>
          </w:tcPr>
          <w:p>
            <w:r>
              <w:t>2800</w:t>
            </w:r>
          </w:p>
        </w:tc>
        <w:tc>
          <w:tcPr>
            <w:vAlign w:val="center"/>
          </w:tcPr>
          <w:p>
            <w:r>
              <w:t>0.50</w:t>
            </w:r>
          </w:p>
        </w:tc>
        <w:tc>
          <w:tcPr>
            <w:vAlign w:val="center"/>
          </w:tcPr>
          <w:p>
            <w:r>
              <w:t>单层铝窗</w:t>
            </w:r>
          </w:p>
        </w:tc>
        <w:tc>
          <w:tcPr>
            <w:vAlign w:val="center"/>
          </w:tcPr>
          <w:p>
            <w:r>
              <w:t>普通白玻</w:t>
            </w:r>
          </w:p>
        </w:tc>
        <w:tc>
          <w:tcPr>
            <w:vAlign w:val="center"/>
          </w:tcPr>
          <w:p>
            <w:r>
              <w:t>0.89</w:t>
            </w:r>
          </w:p>
        </w:tc>
        <w:tc>
          <w:tcPr>
            <w:vAlign w:val="center"/>
          </w:tcPr>
          <w:p>
            <w:r>
              <w:t>0.30</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1" w:name="_Toc15130"/>
      <w:bookmarkStart w:id="72" w:name="窗"/>
      <w:r>
        <w:rPr>
          <w:rFonts w:hint="eastAsia"/>
        </w:rPr>
        <w:t>普通窗</w:t>
      </w:r>
      <w:bookmarkEnd w:id="71"/>
    </w:p>
    <w:bookmarkEnd w:id="72"/>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C0633</w:t>
            </w:r>
          </w:p>
        </w:tc>
        <w:tc>
          <w:tcPr>
            <w:vAlign w:val="center"/>
          </w:tcPr>
          <w:p>
            <w:r>
              <w:t>600</w:t>
            </w:r>
          </w:p>
        </w:tc>
        <w:tc>
          <w:tcPr>
            <w:vAlign w:val="center"/>
          </w:tcPr>
          <w:p>
            <w:r>
              <w:t>3300</w:t>
            </w:r>
          </w:p>
        </w:tc>
        <w:tc>
          <w:tcPr>
            <w:vAlign w:val="center"/>
          </w:tcPr>
          <w:p>
            <w:r>
              <w:t>单层铝窗</w:t>
            </w:r>
          </w:p>
        </w:tc>
        <w:tc>
          <w:tcPr>
            <w:vAlign w:val="center"/>
          </w:tcPr>
          <w:p>
            <w:r>
              <w:t>高透Low-E</w:t>
            </w:r>
          </w:p>
        </w:tc>
        <w:tc>
          <w:tcPr>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C1702</w:t>
            </w:r>
          </w:p>
        </w:tc>
        <w:tc>
          <w:tcPr>
            <w:vAlign w:val="center"/>
          </w:tcPr>
          <w:p>
            <w:r>
              <w:t>1500</w:t>
            </w:r>
          </w:p>
        </w:tc>
        <w:tc>
          <w:tcPr>
            <w:vAlign w:val="center"/>
          </w:tcPr>
          <w:p>
            <w:r>
              <w:t>1200</w:t>
            </w:r>
          </w:p>
        </w:tc>
        <w:tc>
          <w:tcPr>
            <w:vAlign w:val="center"/>
          </w:tcPr>
          <w:p>
            <w:r>
              <w:t>单层铝窗</w:t>
            </w:r>
          </w:p>
        </w:tc>
        <w:tc>
          <w:tcPr>
            <w:vAlign w:val="center"/>
          </w:tcPr>
          <w:p>
            <w:r>
              <w:t>高透Low-E</w:t>
            </w:r>
          </w:p>
        </w:tc>
        <w:tc>
          <w:tcPr>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C1703</w:t>
            </w:r>
          </w:p>
        </w:tc>
        <w:tc>
          <w:tcPr>
            <w:vAlign w:val="center"/>
          </w:tcPr>
          <w:p>
            <w:r>
              <w:t>2100</w:t>
            </w:r>
          </w:p>
        </w:tc>
        <w:tc>
          <w:tcPr>
            <w:vAlign w:val="center"/>
          </w:tcPr>
          <w:p>
            <w:r>
              <w:t>1800</w:t>
            </w:r>
          </w:p>
        </w:tc>
        <w:tc>
          <w:tcPr>
            <w:vAlign w:val="center"/>
          </w:tcPr>
          <w:p>
            <w:r>
              <w:t>单层铝窗</w:t>
            </w:r>
          </w:p>
        </w:tc>
        <w:tc>
          <w:tcPr>
            <w:vAlign w:val="center"/>
          </w:tcPr>
          <w:p>
            <w:r>
              <w:t>高透Low-E</w:t>
            </w:r>
          </w:p>
        </w:tc>
        <w:tc>
          <w:tcPr>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C1705</w:t>
            </w:r>
          </w:p>
        </w:tc>
        <w:tc>
          <w:tcPr>
            <w:vAlign w:val="center"/>
          </w:tcPr>
          <w:p>
            <w:r>
              <w:t>1800</w:t>
            </w:r>
          </w:p>
        </w:tc>
        <w:tc>
          <w:tcPr>
            <w:vAlign w:val="center"/>
          </w:tcPr>
          <w:p>
            <w:r>
              <w:t>1200</w:t>
            </w:r>
          </w:p>
        </w:tc>
        <w:tc>
          <w:tcPr>
            <w:vAlign w:val="center"/>
          </w:tcPr>
          <w:p>
            <w:r>
              <w:t>单层铝窗</w:t>
            </w:r>
          </w:p>
        </w:tc>
        <w:tc>
          <w:tcPr>
            <w:vAlign w:val="center"/>
          </w:tcPr>
          <w:p>
            <w:r>
              <w:t>高透Low-E</w:t>
            </w:r>
          </w:p>
        </w:tc>
        <w:tc>
          <w:tcPr>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C1711</w:t>
            </w:r>
          </w:p>
        </w:tc>
        <w:tc>
          <w:tcPr>
            <w:vAlign w:val="center"/>
          </w:tcPr>
          <w:p>
            <w:r>
              <w:t>3000</w:t>
            </w:r>
          </w:p>
        </w:tc>
        <w:tc>
          <w:tcPr>
            <w:vAlign w:val="center"/>
          </w:tcPr>
          <w:p>
            <w:r>
              <w:t>2700</w:t>
            </w:r>
          </w:p>
        </w:tc>
        <w:tc>
          <w:tcPr>
            <w:vAlign w:val="center"/>
          </w:tcPr>
          <w:p>
            <w:r>
              <w:t>单层铝窗</w:t>
            </w:r>
          </w:p>
        </w:tc>
        <w:tc>
          <w:tcPr>
            <w:vAlign w:val="center"/>
          </w:tcPr>
          <w:p>
            <w:r>
              <w:t>高透Low-E</w:t>
            </w:r>
          </w:p>
        </w:tc>
        <w:tc>
          <w:tcPr>
            <w:vAlign w:val="center"/>
          </w:tcPr>
          <w:p>
            <w:r>
              <w:t>0.76</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3" w:name="_Toc14929"/>
      <w:bookmarkStart w:id="74" w:name="幕墙"/>
      <w:r>
        <w:rPr>
          <w:rFonts w:hint="eastAsia"/>
        </w:rPr>
        <w:t>玻璃幕墙</w:t>
      </w:r>
      <w:bookmarkEnd w:id="73"/>
    </w:p>
    <w:bookmarkEnd w:id="74"/>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2800</w:t>
            </w:r>
          </w:p>
        </w:tc>
        <w:tc>
          <w:tcPr>
            <w:vAlign w:val="center"/>
          </w:tcPr>
          <w:p>
            <w:r>
              <w:t>3300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2"/>
      </w:pPr>
      <w:bookmarkStart w:id="75" w:name="_Toc22151"/>
      <w:r>
        <w:rPr>
          <w:rFonts w:hint="eastAsia"/>
        </w:rPr>
        <w:t>房间模拟</w:t>
      </w:r>
      <w:r>
        <w:t>结果</w:t>
      </w:r>
      <w:bookmarkEnd w:id="75"/>
    </w:p>
    <w:p>
      <w:pPr>
        <w:pStyle w:val="3"/>
        <w:spacing w:after="156" w:afterLines="50" w:line="360" w:lineRule="exact"/>
        <w:ind w:firstLine="420"/>
        <w:rPr>
          <w:lang w:val="en-US"/>
        </w:rPr>
      </w:pPr>
      <w:r>
        <w:rPr>
          <w:rFonts w:hint="eastAsia"/>
          <w:lang w:val="en-US"/>
        </w:rPr>
        <w:t>本项目为住宅</w:t>
      </w:r>
      <w:r>
        <w:rPr>
          <w:lang w:val="en-US"/>
        </w:rPr>
        <w:t>建筑</w:t>
      </w:r>
      <w:r>
        <w:rPr>
          <w:rFonts w:hint="eastAsia"/>
          <w:lang w:val="en-US"/>
        </w:rPr>
        <w:t>。</w:t>
      </w:r>
      <w:r>
        <w:rPr>
          <w:lang w:val="en-US"/>
        </w:rPr>
        <w:t>根据</w:t>
      </w:r>
      <w:r>
        <w:rPr>
          <w:rFonts w:hint="eastAsia"/>
          <w:lang w:val="en-US"/>
        </w:rPr>
        <w:t>《建筑采光设计标准》</w:t>
      </w:r>
      <w:r>
        <w:rPr>
          <w:lang w:val="en-US"/>
        </w:rPr>
        <w:t>GB 50033-2013</w:t>
      </w:r>
      <w:r>
        <w:rPr>
          <w:rFonts w:hint="eastAsia"/>
          <w:lang w:val="en-US"/>
        </w:rPr>
        <w:t>和</w:t>
      </w:r>
      <w:r>
        <w:rPr>
          <w:lang w:val="en-US"/>
        </w:rPr>
        <w:t>《民用建筑设计统一标准》GB 50352-2019</w:t>
      </w:r>
      <w:r>
        <w:rPr>
          <w:rFonts w:hint="eastAsia"/>
          <w:lang w:val="en-US"/>
        </w:rPr>
        <w:t>相关条文的要求</w:t>
      </w:r>
      <w:r>
        <w:rPr>
          <w:lang w:val="en-US"/>
        </w:rPr>
        <w:t>，需计算建筑内</w:t>
      </w:r>
      <w:r>
        <w:rPr>
          <w:rFonts w:hint="eastAsia"/>
          <w:lang w:val="en-US"/>
        </w:rPr>
        <w:t>主要功能房间</w:t>
      </w:r>
      <w:r>
        <w:rPr>
          <w:lang w:val="en-US"/>
        </w:rPr>
        <w:t>的采光系数</w:t>
      </w:r>
      <w:r>
        <w:rPr>
          <w:rFonts w:hint="eastAsia"/>
          <w:lang w:val="en-US"/>
        </w:rPr>
        <w:t>，判断每户是否达标并统计达标户数。</w:t>
      </w:r>
    </w:p>
    <w:p>
      <w:pPr>
        <w:pStyle w:val="4"/>
      </w:pPr>
      <w:bookmarkStart w:id="76" w:name="_Toc14656"/>
      <w:r>
        <w:rPr>
          <w:rFonts w:hint="eastAsia"/>
        </w:rPr>
        <w:t>房间采光系数</w:t>
      </w:r>
      <w:bookmarkEnd w:id="76"/>
    </w:p>
    <w:p>
      <w:pPr>
        <w:rPr>
          <w:lang w:val="en-US"/>
        </w:rPr>
      </w:pPr>
      <w:bookmarkStart w:id="77" w:name="房间采光表"/>
      <w:bookmarkEnd w:id="77"/>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94"/>
        <w:gridCol w:w="820"/>
        <w:gridCol w:w="1075"/>
        <w:gridCol w:w="1075"/>
        <w:gridCol w:w="735"/>
        <w:gridCol w:w="735"/>
        <w:gridCol w:w="905"/>
        <w:gridCol w:w="1075"/>
        <w:gridCol w:w="1301"/>
        <w:gridCol w:w="10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户型</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w:t>
            </w:r>
            <w:r>
              <w:br w:type="textWrapping"/>
            </w:r>
            <w:r>
              <w:t>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Merge w:val="restart"/>
            <w:vAlign w:val="center"/>
          </w:tcPr>
          <w:p>
            <w:r>
              <w:t>1-G</w:t>
            </w:r>
          </w:p>
        </w:tc>
        <w:tc>
          <w:tcPr>
            <w:vAlign w:val="center"/>
          </w:tcPr>
          <w:p>
            <w:r>
              <w:t>1001</w:t>
            </w:r>
          </w:p>
        </w:tc>
        <w:tc>
          <w:tcPr>
            <w:vAlign w:val="center"/>
          </w:tcPr>
          <w:p>
            <w:r>
              <w:t>过道</w:t>
            </w:r>
          </w:p>
        </w:tc>
        <w:tc>
          <w:tcPr>
            <w:vAlign w:val="center"/>
          </w:tcPr>
          <w:p>
            <w:r>
              <w:t>V</w:t>
            </w:r>
          </w:p>
        </w:tc>
        <w:tc>
          <w:tcPr>
            <w:vAlign w:val="center"/>
          </w:tcPr>
          <w:p>
            <w:r>
              <w:t>侧面</w:t>
            </w:r>
          </w:p>
        </w:tc>
        <w:tc>
          <w:tcPr>
            <w:vAlign w:val="center"/>
          </w:tcPr>
          <w:p>
            <w:r>
              <w:t>576.10</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1002</w:t>
            </w:r>
          </w:p>
        </w:tc>
        <w:tc>
          <w:tcPr>
            <w:vAlign w:val="center"/>
          </w:tcPr>
          <w:p>
            <w:r>
              <w:t>过道</w:t>
            </w:r>
          </w:p>
        </w:tc>
        <w:tc>
          <w:tcPr>
            <w:vAlign w:val="center"/>
          </w:tcPr>
          <w:p>
            <w:r>
              <w:t>V</w:t>
            </w:r>
          </w:p>
        </w:tc>
        <w:tc>
          <w:tcPr>
            <w:vAlign w:val="center"/>
          </w:tcPr>
          <w:p>
            <w:r>
              <w:t>侧面</w:t>
            </w:r>
          </w:p>
        </w:tc>
        <w:tc>
          <w:tcPr>
            <w:vAlign w:val="center"/>
          </w:tcPr>
          <w:p>
            <w:r>
              <w:t>99.51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1003</w:t>
            </w:r>
          </w:p>
        </w:tc>
        <w:tc>
          <w:tcPr>
            <w:vAlign w:val="center"/>
          </w:tcPr>
          <w:p>
            <w:r>
              <w:t>过道</w:t>
            </w:r>
          </w:p>
        </w:tc>
        <w:tc>
          <w:tcPr>
            <w:vAlign w:val="center"/>
          </w:tcPr>
          <w:p>
            <w:r>
              <w:t>V</w:t>
            </w:r>
          </w:p>
        </w:tc>
        <w:tc>
          <w:tcPr>
            <w:vAlign w:val="center"/>
          </w:tcPr>
          <w:p>
            <w:r>
              <w:t>侧面</w:t>
            </w:r>
          </w:p>
        </w:tc>
        <w:tc>
          <w:tcPr>
            <w:vAlign w:val="center"/>
          </w:tcPr>
          <w:p>
            <w:r>
              <w:t>99.49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1004</w:t>
            </w:r>
          </w:p>
        </w:tc>
        <w:tc>
          <w:tcPr>
            <w:vAlign w:val="center"/>
          </w:tcPr>
          <w:p>
            <w:r>
              <w:t>过道</w:t>
            </w:r>
          </w:p>
        </w:tc>
        <w:tc>
          <w:tcPr>
            <w:vAlign w:val="center"/>
          </w:tcPr>
          <w:p>
            <w:r>
              <w:t>V</w:t>
            </w:r>
          </w:p>
        </w:tc>
        <w:tc>
          <w:tcPr>
            <w:vAlign w:val="center"/>
          </w:tcPr>
          <w:p>
            <w:r>
              <w:t>侧面</w:t>
            </w:r>
          </w:p>
        </w:tc>
        <w:tc>
          <w:tcPr>
            <w:vAlign w:val="center"/>
          </w:tcPr>
          <w:p>
            <w:r>
              <w:t>87.82</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1005</w:t>
            </w:r>
          </w:p>
        </w:tc>
        <w:tc>
          <w:tcPr>
            <w:vAlign w:val="center"/>
          </w:tcPr>
          <w:p>
            <w:r>
              <w:t>过道</w:t>
            </w:r>
          </w:p>
        </w:tc>
        <w:tc>
          <w:tcPr>
            <w:vAlign w:val="center"/>
          </w:tcPr>
          <w:p>
            <w:r>
              <w:t>V</w:t>
            </w:r>
          </w:p>
        </w:tc>
        <w:tc>
          <w:tcPr>
            <w:vAlign w:val="center"/>
          </w:tcPr>
          <w:p>
            <w:r>
              <w:t>侧面</w:t>
            </w:r>
          </w:p>
        </w:tc>
        <w:tc>
          <w:tcPr>
            <w:vAlign w:val="center"/>
          </w:tcPr>
          <w:p>
            <w:r>
              <w:t>51.49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1006</w:t>
            </w:r>
          </w:p>
        </w:tc>
        <w:tc>
          <w:tcPr>
            <w:vAlign w:val="center"/>
          </w:tcPr>
          <w:p>
            <w:r>
              <w:t>起居室</w:t>
            </w:r>
          </w:p>
        </w:tc>
        <w:tc>
          <w:tcPr>
            <w:vAlign w:val="center"/>
          </w:tcPr>
          <w:p>
            <w:r>
              <w:t>IV</w:t>
            </w:r>
          </w:p>
        </w:tc>
        <w:tc>
          <w:tcPr>
            <w:vAlign w:val="center"/>
          </w:tcPr>
          <w:p>
            <w:r>
              <w:t>侧面</w:t>
            </w:r>
          </w:p>
        </w:tc>
        <w:tc>
          <w:tcPr>
            <w:vAlign w:val="center"/>
          </w:tcPr>
          <w:p>
            <w:r>
              <w:t>46.48</w:t>
            </w:r>
          </w:p>
        </w:tc>
        <w:tc>
          <w:tcPr>
            <w:vAlign w:val="center"/>
          </w:tcPr>
          <w:p>
            <w:r>
              <w:t>0.00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1008</w:t>
            </w:r>
          </w:p>
        </w:tc>
        <w:tc>
          <w:tcPr>
            <w:vAlign w:val="center"/>
          </w:tcPr>
          <w:p>
            <w:r>
              <w:t>过道</w:t>
            </w:r>
          </w:p>
        </w:tc>
        <w:tc>
          <w:tcPr>
            <w:vAlign w:val="center"/>
          </w:tcPr>
          <w:p>
            <w:r>
              <w:t>V</w:t>
            </w:r>
          </w:p>
        </w:tc>
        <w:tc>
          <w:tcPr>
            <w:vAlign w:val="center"/>
          </w:tcPr>
          <w:p>
            <w:r>
              <w:t>侧面</w:t>
            </w:r>
          </w:p>
        </w:tc>
        <w:tc>
          <w:tcPr>
            <w:vAlign w:val="center"/>
          </w:tcPr>
          <w:p>
            <w:r>
              <w:t>19.27</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1009</w:t>
            </w:r>
          </w:p>
        </w:tc>
        <w:tc>
          <w:tcPr>
            <w:vAlign w:val="center"/>
          </w:tcPr>
          <w:p>
            <w:r>
              <w:t>过道</w:t>
            </w:r>
          </w:p>
        </w:tc>
        <w:tc>
          <w:tcPr>
            <w:vAlign w:val="center"/>
          </w:tcPr>
          <w:p>
            <w:r>
              <w:t>V</w:t>
            </w:r>
          </w:p>
        </w:tc>
        <w:tc>
          <w:tcPr>
            <w:vAlign w:val="center"/>
          </w:tcPr>
          <w:p>
            <w:r>
              <w:t>侧面</w:t>
            </w:r>
          </w:p>
        </w:tc>
        <w:tc>
          <w:tcPr>
            <w:vAlign w:val="center"/>
          </w:tcPr>
          <w:p>
            <w:r>
              <w:t>19.27</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0.10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2.00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0.10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1015</w:t>
            </w:r>
          </w:p>
        </w:tc>
        <w:tc>
          <w:tcPr>
            <w:vAlign w:val="center"/>
          </w:tcPr>
          <w:p>
            <w:r>
              <w:t>起居室</w:t>
            </w:r>
          </w:p>
        </w:tc>
        <w:tc>
          <w:tcPr>
            <w:vAlign w:val="center"/>
          </w:tcPr>
          <w:p>
            <w:r>
              <w:t>IV</w:t>
            </w:r>
          </w:p>
        </w:tc>
        <w:tc>
          <w:tcPr>
            <w:vAlign w:val="center"/>
          </w:tcPr>
          <w:p>
            <w:r>
              <w:t>侧面</w:t>
            </w:r>
          </w:p>
        </w:tc>
        <w:tc>
          <w:tcPr>
            <w:vAlign w:val="center"/>
          </w:tcPr>
          <w:p>
            <w:r>
              <w:t>17.15</w:t>
            </w:r>
          </w:p>
        </w:tc>
        <w:tc>
          <w:tcPr>
            <w:vAlign w:val="center"/>
          </w:tcPr>
          <w:p>
            <w:r>
              <w:t>2.04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1018</w:t>
            </w:r>
          </w:p>
        </w:tc>
        <w:tc>
          <w:tcPr>
            <w:vAlign w:val="center"/>
          </w:tcPr>
          <w:p>
            <w:r>
              <w:t>起居室</w:t>
            </w:r>
          </w:p>
        </w:tc>
        <w:tc>
          <w:tcPr>
            <w:vAlign w:val="center"/>
          </w:tcPr>
          <w:p>
            <w:r>
              <w:t>IV</w:t>
            </w:r>
          </w:p>
        </w:tc>
        <w:tc>
          <w:tcPr>
            <w:vAlign w:val="center"/>
          </w:tcPr>
          <w:p>
            <w:r>
              <w:t>侧面</w:t>
            </w:r>
          </w:p>
        </w:tc>
        <w:tc>
          <w:tcPr>
            <w:vAlign w:val="center"/>
          </w:tcPr>
          <w:p>
            <w:r>
              <w:t>46.43</w:t>
            </w:r>
          </w:p>
        </w:tc>
        <w:tc>
          <w:tcPr>
            <w:vAlign w:val="center"/>
          </w:tcPr>
          <w:p>
            <w:r>
              <w:t>0.00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Merge w:val="restart"/>
            <w:vAlign w:val="center"/>
          </w:tcPr>
          <w:p>
            <w:r>
              <w:t>1-F</w:t>
            </w:r>
          </w:p>
        </w:tc>
        <w:tc>
          <w:tcPr>
            <w:vAlign w:val="center"/>
          </w:tcPr>
          <w:p>
            <w:r>
              <w:t>2001</w:t>
            </w:r>
          </w:p>
        </w:tc>
        <w:tc>
          <w:tcPr>
            <w:vAlign w:val="center"/>
          </w:tcPr>
          <w:p>
            <w:r>
              <w:t>过道</w:t>
            </w:r>
          </w:p>
        </w:tc>
        <w:tc>
          <w:tcPr>
            <w:vAlign w:val="center"/>
          </w:tcPr>
          <w:p>
            <w:r>
              <w:t>V</w:t>
            </w:r>
          </w:p>
        </w:tc>
        <w:tc>
          <w:tcPr>
            <w:vAlign w:val="center"/>
          </w:tcPr>
          <w:p>
            <w:r>
              <w:t>侧面</w:t>
            </w:r>
          </w:p>
        </w:tc>
        <w:tc>
          <w:tcPr>
            <w:vAlign w:val="center"/>
          </w:tcPr>
          <w:p>
            <w:r>
              <w:t>241.24</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2002</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2003</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2004</w:t>
            </w:r>
          </w:p>
        </w:tc>
        <w:tc>
          <w:tcPr>
            <w:vAlign w:val="center"/>
          </w:tcPr>
          <w:p>
            <w:r>
              <w:t>起居室</w:t>
            </w:r>
          </w:p>
        </w:tc>
        <w:tc>
          <w:tcPr>
            <w:vAlign w:val="center"/>
          </w:tcPr>
          <w:p>
            <w:r>
              <w:t>IV</w:t>
            </w:r>
          </w:p>
        </w:tc>
        <w:tc>
          <w:tcPr>
            <w:vAlign w:val="center"/>
          </w:tcPr>
          <w:p>
            <w:r>
              <w:t>侧面</w:t>
            </w:r>
          </w:p>
        </w:tc>
        <w:tc>
          <w:tcPr>
            <w:vAlign w:val="center"/>
          </w:tcPr>
          <w:p>
            <w:r>
              <w:t>22.41</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2005</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2006</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2039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1.10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2049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2050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2051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2052</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2053</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2057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2058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2059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11.76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2069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12.58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9.98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2079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11.96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0.28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2089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2099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2100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0.29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2101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Merge w:val="restart"/>
            <w:vAlign w:val="center"/>
          </w:tcPr>
          <w:p>
            <w:r>
              <w:t>1-A</w:t>
            </w:r>
          </w:p>
        </w:tc>
        <w:tc>
          <w:tcPr>
            <w:vAlign w:val="center"/>
          </w:tcPr>
          <w:p>
            <w:r>
              <w:t>3001</w:t>
            </w:r>
          </w:p>
        </w:tc>
        <w:tc>
          <w:tcPr>
            <w:vAlign w:val="center"/>
          </w:tcPr>
          <w:p>
            <w:r>
              <w:t>过道</w:t>
            </w:r>
          </w:p>
        </w:tc>
        <w:tc>
          <w:tcPr>
            <w:vAlign w:val="center"/>
          </w:tcPr>
          <w:p>
            <w:r>
              <w:t>V</w:t>
            </w:r>
          </w:p>
        </w:tc>
        <w:tc>
          <w:tcPr>
            <w:vAlign w:val="center"/>
          </w:tcPr>
          <w:p>
            <w:r>
              <w:t>侧面</w:t>
            </w:r>
          </w:p>
        </w:tc>
        <w:tc>
          <w:tcPr>
            <w:vAlign w:val="center"/>
          </w:tcPr>
          <w:p>
            <w:r>
              <w:t>241.24</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3002</w:t>
            </w:r>
          </w:p>
        </w:tc>
        <w:tc>
          <w:tcPr>
            <w:vAlign w:val="center"/>
          </w:tcPr>
          <w:p>
            <w:r>
              <w:t>过道</w:t>
            </w:r>
          </w:p>
        </w:tc>
        <w:tc>
          <w:tcPr>
            <w:vAlign w:val="center"/>
          </w:tcPr>
          <w:p>
            <w:r>
              <w:t>V</w:t>
            </w:r>
          </w:p>
        </w:tc>
        <w:tc>
          <w:tcPr>
            <w:vAlign w:val="center"/>
          </w:tcPr>
          <w:p>
            <w:r>
              <w:t>侧面</w:t>
            </w:r>
          </w:p>
        </w:tc>
        <w:tc>
          <w:tcPr>
            <w:vAlign w:val="center"/>
          </w:tcPr>
          <w:p>
            <w:r>
              <w:t>63.39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3003</w:t>
            </w:r>
          </w:p>
        </w:tc>
        <w:tc>
          <w:tcPr>
            <w:vAlign w:val="center"/>
          </w:tcPr>
          <w:p>
            <w:r>
              <w:t>过道</w:t>
            </w:r>
          </w:p>
        </w:tc>
        <w:tc>
          <w:tcPr>
            <w:vAlign w:val="center"/>
          </w:tcPr>
          <w:p>
            <w:r>
              <w:t>V</w:t>
            </w:r>
          </w:p>
        </w:tc>
        <w:tc>
          <w:tcPr>
            <w:vAlign w:val="center"/>
          </w:tcPr>
          <w:p>
            <w:r>
              <w:t>侧面</w:t>
            </w:r>
          </w:p>
        </w:tc>
        <w:tc>
          <w:tcPr>
            <w:vAlign w:val="center"/>
          </w:tcPr>
          <w:p>
            <w:r>
              <w:t>63.39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3004</w:t>
            </w:r>
          </w:p>
        </w:tc>
        <w:tc>
          <w:tcPr>
            <w:vAlign w:val="center"/>
          </w:tcPr>
          <w:p>
            <w:r>
              <w:t>过道</w:t>
            </w:r>
          </w:p>
        </w:tc>
        <w:tc>
          <w:tcPr>
            <w:vAlign w:val="center"/>
          </w:tcPr>
          <w:p>
            <w:r>
              <w:t>V</w:t>
            </w:r>
          </w:p>
        </w:tc>
        <w:tc>
          <w:tcPr>
            <w:vAlign w:val="center"/>
          </w:tcPr>
          <w:p>
            <w:r>
              <w:t>侧面</w:t>
            </w:r>
          </w:p>
        </w:tc>
        <w:tc>
          <w:tcPr>
            <w:vAlign w:val="center"/>
          </w:tcPr>
          <w:p>
            <w:r>
              <w:t>63.39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3005</w:t>
            </w:r>
          </w:p>
        </w:tc>
        <w:tc>
          <w:tcPr>
            <w:vAlign w:val="center"/>
          </w:tcPr>
          <w:p>
            <w:r>
              <w:t>起居室</w:t>
            </w:r>
          </w:p>
        </w:tc>
        <w:tc>
          <w:tcPr>
            <w:vAlign w:val="center"/>
          </w:tcPr>
          <w:p>
            <w:r>
              <w:t>IV</w:t>
            </w:r>
          </w:p>
        </w:tc>
        <w:tc>
          <w:tcPr>
            <w:vAlign w:val="center"/>
          </w:tcPr>
          <w:p>
            <w:r>
              <w:t>侧面</w:t>
            </w:r>
          </w:p>
        </w:tc>
        <w:tc>
          <w:tcPr>
            <w:vAlign w:val="center"/>
          </w:tcPr>
          <w:p>
            <w:r>
              <w:t>22.41</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3006</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3007</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3008</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3009</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3011</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0.37</w:t>
            </w:r>
          </w:p>
        </w:tc>
        <w:tc>
          <w:tcPr>
            <w:vAlign w:val="center"/>
          </w:tcPr>
          <w:p>
            <w:r>
              <w:t>1.10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3012</w:t>
            </w:r>
          </w:p>
        </w:tc>
        <w:tc>
          <w:tcPr>
            <w:vAlign w:val="center"/>
          </w:tcPr>
          <w:p>
            <w:r>
              <w:t>起居室</w:t>
            </w:r>
          </w:p>
        </w:tc>
        <w:tc>
          <w:tcPr>
            <w:vAlign w:val="center"/>
          </w:tcPr>
          <w:p>
            <w:r>
              <w:t>IV</w:t>
            </w:r>
          </w:p>
        </w:tc>
        <w:tc>
          <w:tcPr>
            <w:vAlign w:val="center"/>
          </w:tcPr>
          <w:p>
            <w:r>
              <w:t>顶部</w:t>
            </w:r>
          </w:p>
        </w:tc>
        <w:tc>
          <w:tcPr>
            <w:vAlign w:val="center"/>
          </w:tcPr>
          <w:p>
            <w:r>
              <w:t>17.08</w:t>
            </w:r>
          </w:p>
        </w:tc>
        <w:tc>
          <w:tcPr>
            <w:vAlign w:val="center"/>
          </w:tcPr>
          <w:p>
            <w:r>
              <w:t>0.47</w:t>
            </w:r>
          </w:p>
        </w:tc>
        <w:tc>
          <w:tcPr>
            <w:vAlign w:val="center"/>
          </w:tcPr>
          <w:p>
            <w:r>
              <w:t>1.10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0.99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1.15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3030</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0.41</w:t>
            </w:r>
          </w:p>
        </w:tc>
        <w:tc>
          <w:tcPr>
            <w:vAlign w:val="center"/>
          </w:tcPr>
          <w:p>
            <w:r>
              <w:t>1.10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1.27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3039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3041</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0.41</w:t>
            </w:r>
          </w:p>
        </w:tc>
        <w:tc>
          <w:tcPr>
            <w:vAlign w:val="center"/>
          </w:tcPr>
          <w:p>
            <w:r>
              <w:t>1.10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3043</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0.41</w:t>
            </w:r>
          </w:p>
        </w:tc>
        <w:tc>
          <w:tcPr>
            <w:vAlign w:val="center"/>
          </w:tcPr>
          <w:p>
            <w:r>
              <w:t>1.10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3044</w:t>
            </w:r>
          </w:p>
        </w:tc>
        <w:tc>
          <w:tcPr>
            <w:vAlign w:val="center"/>
          </w:tcPr>
          <w:p>
            <w:r>
              <w:t>起居室</w:t>
            </w:r>
          </w:p>
        </w:tc>
        <w:tc>
          <w:tcPr>
            <w:vAlign w:val="center"/>
          </w:tcPr>
          <w:p>
            <w:r>
              <w:t>IV</w:t>
            </w:r>
          </w:p>
        </w:tc>
        <w:tc>
          <w:tcPr>
            <w:vAlign w:val="center"/>
          </w:tcPr>
          <w:p>
            <w:r>
              <w:t>顶部</w:t>
            </w:r>
          </w:p>
        </w:tc>
        <w:tc>
          <w:tcPr>
            <w:vAlign w:val="center"/>
          </w:tcPr>
          <w:p>
            <w:r>
              <w:t>17.08</w:t>
            </w:r>
          </w:p>
        </w:tc>
        <w:tc>
          <w:tcPr>
            <w:vAlign w:val="center"/>
          </w:tcPr>
          <w:p>
            <w:r>
              <w:t>0.40</w:t>
            </w:r>
          </w:p>
        </w:tc>
        <w:tc>
          <w:tcPr>
            <w:vAlign w:val="center"/>
          </w:tcPr>
          <w:p>
            <w:r>
              <w:t>1.10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3045</w:t>
            </w:r>
          </w:p>
        </w:tc>
        <w:tc>
          <w:tcPr>
            <w:vAlign w:val="center"/>
          </w:tcPr>
          <w:p>
            <w:r>
              <w:t>起居室</w:t>
            </w:r>
          </w:p>
        </w:tc>
        <w:tc>
          <w:tcPr>
            <w:vAlign w:val="center"/>
          </w:tcPr>
          <w:p>
            <w:r>
              <w:t>IV</w:t>
            </w:r>
          </w:p>
        </w:tc>
        <w:tc>
          <w:tcPr>
            <w:vAlign w:val="center"/>
          </w:tcPr>
          <w:p>
            <w:r>
              <w:t>顶部</w:t>
            </w:r>
          </w:p>
        </w:tc>
        <w:tc>
          <w:tcPr>
            <w:vAlign w:val="center"/>
          </w:tcPr>
          <w:p>
            <w:r>
              <w:t>17.08</w:t>
            </w:r>
          </w:p>
        </w:tc>
        <w:tc>
          <w:tcPr>
            <w:vAlign w:val="center"/>
          </w:tcPr>
          <w:p>
            <w:r>
              <w:t>0.43</w:t>
            </w:r>
          </w:p>
        </w:tc>
        <w:tc>
          <w:tcPr>
            <w:vAlign w:val="center"/>
          </w:tcPr>
          <w:p>
            <w:r>
              <w:t>1.10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3049</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3050</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3053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12.59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3054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3055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0.67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3056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3057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0.67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3058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3059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0.60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11.98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12.40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3069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12.10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10.12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12.48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12.82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3079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3080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3081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3082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3083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3084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3085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w:t>
            </w:r>
          </w:p>
        </w:tc>
        <w:tc>
          <w:tcPr>
            <w:vMerge w:val="restart"/>
            <w:vAlign w:val="center"/>
          </w:tcPr>
          <w:p>
            <w:r>
              <w:t>1-D</w:t>
            </w:r>
          </w:p>
        </w:tc>
        <w:tc>
          <w:tcPr>
            <w:vAlign w:val="center"/>
          </w:tcPr>
          <w:p>
            <w:r>
              <w:t>4001</w:t>
            </w:r>
          </w:p>
        </w:tc>
        <w:tc>
          <w:tcPr>
            <w:vAlign w:val="center"/>
          </w:tcPr>
          <w:p>
            <w:r>
              <w:t>过道</w:t>
            </w:r>
          </w:p>
        </w:tc>
        <w:tc>
          <w:tcPr>
            <w:vAlign w:val="center"/>
          </w:tcPr>
          <w:p>
            <w:r>
              <w:t>V</w:t>
            </w:r>
          </w:p>
        </w:tc>
        <w:tc>
          <w:tcPr>
            <w:vAlign w:val="center"/>
          </w:tcPr>
          <w:p>
            <w:r>
              <w:t>侧面</w:t>
            </w:r>
          </w:p>
        </w:tc>
        <w:tc>
          <w:tcPr>
            <w:vAlign w:val="center"/>
          </w:tcPr>
          <w:p>
            <w:r>
              <w:t>241.24</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4002</w:t>
            </w:r>
          </w:p>
        </w:tc>
        <w:tc>
          <w:tcPr>
            <w:vAlign w:val="center"/>
          </w:tcPr>
          <w:p>
            <w:r>
              <w:t>过道</w:t>
            </w:r>
          </w:p>
        </w:tc>
        <w:tc>
          <w:tcPr>
            <w:vAlign w:val="center"/>
          </w:tcPr>
          <w:p>
            <w:r>
              <w:t>V</w:t>
            </w:r>
          </w:p>
        </w:tc>
        <w:tc>
          <w:tcPr>
            <w:vAlign w:val="center"/>
          </w:tcPr>
          <w:p>
            <w:r>
              <w:t>侧面</w:t>
            </w:r>
          </w:p>
        </w:tc>
        <w:tc>
          <w:tcPr>
            <w:vAlign w:val="center"/>
          </w:tcPr>
          <w:p>
            <w:r>
              <w:t>63.39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4003</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4004</w:t>
            </w:r>
          </w:p>
        </w:tc>
        <w:tc>
          <w:tcPr>
            <w:vAlign w:val="center"/>
          </w:tcPr>
          <w:p>
            <w:r>
              <w:t>起居室</w:t>
            </w:r>
          </w:p>
        </w:tc>
        <w:tc>
          <w:tcPr>
            <w:vAlign w:val="center"/>
          </w:tcPr>
          <w:p>
            <w:r>
              <w:t>IV</w:t>
            </w:r>
          </w:p>
        </w:tc>
        <w:tc>
          <w:tcPr>
            <w:vAlign w:val="center"/>
          </w:tcPr>
          <w:p>
            <w:r>
              <w:t>侧面</w:t>
            </w:r>
          </w:p>
        </w:tc>
        <w:tc>
          <w:tcPr>
            <w:vAlign w:val="center"/>
          </w:tcPr>
          <w:p>
            <w:r>
              <w:t>22.41</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4005</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4006</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4007</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4008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4009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4019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1.20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1.16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1.25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4029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4039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4049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4050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4051</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4052</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4057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4058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4059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12.57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12.58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0.27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4069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0.29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12.44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4079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12.16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12.43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11.05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4089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4090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4091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4092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4093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4094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4095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4096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4097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0.31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5</w:t>
            </w:r>
          </w:p>
        </w:tc>
        <w:tc>
          <w:tcPr>
            <w:vMerge w:val="restart"/>
            <w:vAlign w:val="center"/>
          </w:tcPr>
          <w:p>
            <w:r>
              <w:t>1-B</w:t>
            </w:r>
          </w:p>
        </w:tc>
        <w:tc>
          <w:tcPr>
            <w:vAlign w:val="center"/>
          </w:tcPr>
          <w:p>
            <w:r>
              <w:t>5001</w:t>
            </w:r>
          </w:p>
        </w:tc>
        <w:tc>
          <w:tcPr>
            <w:vAlign w:val="center"/>
          </w:tcPr>
          <w:p>
            <w:r>
              <w:t>过道</w:t>
            </w:r>
          </w:p>
        </w:tc>
        <w:tc>
          <w:tcPr>
            <w:vAlign w:val="center"/>
          </w:tcPr>
          <w:p>
            <w:r>
              <w:t>V</w:t>
            </w:r>
          </w:p>
        </w:tc>
        <w:tc>
          <w:tcPr>
            <w:vAlign w:val="center"/>
          </w:tcPr>
          <w:p>
            <w:r>
              <w:t>侧面</w:t>
            </w:r>
          </w:p>
        </w:tc>
        <w:tc>
          <w:tcPr>
            <w:vAlign w:val="center"/>
          </w:tcPr>
          <w:p>
            <w:r>
              <w:t>241.24</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5002</w:t>
            </w:r>
          </w:p>
        </w:tc>
        <w:tc>
          <w:tcPr>
            <w:vAlign w:val="center"/>
          </w:tcPr>
          <w:p>
            <w:r>
              <w:t>过道</w:t>
            </w:r>
          </w:p>
        </w:tc>
        <w:tc>
          <w:tcPr>
            <w:vAlign w:val="center"/>
          </w:tcPr>
          <w:p>
            <w:r>
              <w:t>V</w:t>
            </w:r>
          </w:p>
        </w:tc>
        <w:tc>
          <w:tcPr>
            <w:vAlign w:val="center"/>
          </w:tcPr>
          <w:p>
            <w:r>
              <w:t>侧面</w:t>
            </w:r>
          </w:p>
        </w:tc>
        <w:tc>
          <w:tcPr>
            <w:vAlign w:val="center"/>
          </w:tcPr>
          <w:p>
            <w:r>
              <w:t>63.39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5003</w:t>
            </w:r>
          </w:p>
        </w:tc>
        <w:tc>
          <w:tcPr>
            <w:vAlign w:val="center"/>
          </w:tcPr>
          <w:p>
            <w:r>
              <w:t>过道</w:t>
            </w:r>
          </w:p>
        </w:tc>
        <w:tc>
          <w:tcPr>
            <w:vAlign w:val="center"/>
          </w:tcPr>
          <w:p>
            <w:r>
              <w:t>V</w:t>
            </w:r>
          </w:p>
        </w:tc>
        <w:tc>
          <w:tcPr>
            <w:vAlign w:val="center"/>
          </w:tcPr>
          <w:p>
            <w:r>
              <w:t>侧面</w:t>
            </w:r>
          </w:p>
        </w:tc>
        <w:tc>
          <w:tcPr>
            <w:vAlign w:val="center"/>
          </w:tcPr>
          <w:p>
            <w:r>
              <w:t>63.39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5004</w:t>
            </w:r>
          </w:p>
        </w:tc>
        <w:tc>
          <w:tcPr>
            <w:vAlign w:val="center"/>
          </w:tcPr>
          <w:p>
            <w:r>
              <w:t>过道</w:t>
            </w:r>
          </w:p>
        </w:tc>
        <w:tc>
          <w:tcPr>
            <w:vAlign w:val="center"/>
          </w:tcPr>
          <w:p>
            <w:r>
              <w:t>V</w:t>
            </w:r>
          </w:p>
        </w:tc>
        <w:tc>
          <w:tcPr>
            <w:vAlign w:val="center"/>
          </w:tcPr>
          <w:p>
            <w:r>
              <w:t>侧面</w:t>
            </w:r>
          </w:p>
        </w:tc>
        <w:tc>
          <w:tcPr>
            <w:vAlign w:val="center"/>
          </w:tcPr>
          <w:p>
            <w:r>
              <w:t>63.39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5005</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5006</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5007</w:t>
            </w:r>
          </w:p>
        </w:tc>
        <w:tc>
          <w:tcPr>
            <w:vAlign w:val="center"/>
          </w:tcPr>
          <w:p>
            <w:r>
              <w:t>起居室</w:t>
            </w:r>
          </w:p>
        </w:tc>
        <w:tc>
          <w:tcPr>
            <w:vAlign w:val="center"/>
          </w:tcPr>
          <w:p>
            <w:r>
              <w:t>IV</w:t>
            </w:r>
          </w:p>
        </w:tc>
        <w:tc>
          <w:tcPr>
            <w:vAlign w:val="center"/>
          </w:tcPr>
          <w:p>
            <w:r>
              <w:t>侧面</w:t>
            </w:r>
          </w:p>
        </w:tc>
        <w:tc>
          <w:tcPr>
            <w:vAlign w:val="center"/>
          </w:tcPr>
          <w:p>
            <w:r>
              <w:t>22.41</w:t>
            </w:r>
          </w:p>
        </w:tc>
        <w:tc>
          <w:tcPr>
            <w:vAlign w:val="center"/>
          </w:tcPr>
          <w:p>
            <w:r>
              <w:t>0.16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5008</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5009</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5010</w:t>
            </w:r>
          </w:p>
        </w:tc>
        <w:tc>
          <w:tcPr>
            <w:vAlign w:val="center"/>
          </w:tcPr>
          <w:p>
            <w:r>
              <w:t>起居室</w:t>
            </w:r>
          </w:p>
        </w:tc>
        <w:tc>
          <w:tcPr>
            <w:vAlign w:val="center"/>
          </w:tcPr>
          <w:p>
            <w:r>
              <w:t>IV</w:t>
            </w:r>
          </w:p>
        </w:tc>
        <w:tc>
          <w:tcPr>
            <w:vAlign w:val="center"/>
          </w:tcPr>
          <w:p>
            <w:r>
              <w:t>侧面</w:t>
            </w:r>
          </w:p>
        </w:tc>
        <w:tc>
          <w:tcPr>
            <w:vAlign w:val="center"/>
          </w:tcPr>
          <w:p>
            <w:r>
              <w:t>22.41</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5014</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0.49</w:t>
            </w:r>
          </w:p>
        </w:tc>
        <w:tc>
          <w:tcPr>
            <w:vAlign w:val="center"/>
          </w:tcPr>
          <w:p>
            <w:r>
              <w:t>1.10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5016</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1.59</w:t>
            </w:r>
          </w:p>
        </w:tc>
        <w:tc>
          <w:tcPr>
            <w:vAlign w:val="center"/>
          </w:tcPr>
          <w:p>
            <w:r>
              <w:t>1.10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5019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1.28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1.19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5027</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0.48</w:t>
            </w:r>
          </w:p>
        </w:tc>
        <w:tc>
          <w:tcPr>
            <w:vAlign w:val="center"/>
          </w:tcPr>
          <w:p>
            <w:r>
              <w:t>1.10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5029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5030</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1.56</w:t>
            </w:r>
          </w:p>
        </w:tc>
        <w:tc>
          <w:tcPr>
            <w:vAlign w:val="center"/>
          </w:tcPr>
          <w:p>
            <w:r>
              <w:t>1.10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5032</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1.58</w:t>
            </w:r>
          </w:p>
        </w:tc>
        <w:tc>
          <w:tcPr>
            <w:vAlign w:val="center"/>
          </w:tcPr>
          <w:p>
            <w:r>
              <w:t>1.10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5033</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1.58</w:t>
            </w:r>
          </w:p>
        </w:tc>
        <w:tc>
          <w:tcPr>
            <w:vAlign w:val="center"/>
          </w:tcPr>
          <w:p>
            <w:r>
              <w:t>1.10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5034</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1.58</w:t>
            </w:r>
          </w:p>
        </w:tc>
        <w:tc>
          <w:tcPr>
            <w:vAlign w:val="center"/>
          </w:tcPr>
          <w:p>
            <w:r>
              <w:t>1.10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5036</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1.57</w:t>
            </w:r>
          </w:p>
        </w:tc>
        <w:tc>
          <w:tcPr>
            <w:vAlign w:val="center"/>
          </w:tcPr>
          <w:p>
            <w:r>
              <w:t>1.10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1.11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5039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5045</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1.58</w:t>
            </w:r>
          </w:p>
        </w:tc>
        <w:tc>
          <w:tcPr>
            <w:vAlign w:val="center"/>
          </w:tcPr>
          <w:p>
            <w:r>
              <w:t>1.10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5046</w:t>
            </w:r>
          </w:p>
        </w:tc>
        <w:tc>
          <w:tcPr>
            <w:vAlign w:val="center"/>
          </w:tcPr>
          <w:p>
            <w:r>
              <w:t>起居室</w:t>
            </w:r>
          </w:p>
        </w:tc>
        <w:tc>
          <w:tcPr>
            <w:vAlign w:val="center"/>
          </w:tcPr>
          <w:p>
            <w:r>
              <w:t>IV</w:t>
            </w:r>
          </w:p>
        </w:tc>
        <w:tc>
          <w:tcPr>
            <w:vAlign w:val="center"/>
          </w:tcPr>
          <w:p>
            <w:r>
              <w:t>混合</w:t>
            </w:r>
          </w:p>
        </w:tc>
        <w:tc>
          <w:tcPr>
            <w:vAlign w:val="center"/>
          </w:tcPr>
          <w:p>
            <w:r>
              <w:t>17.08</w:t>
            </w:r>
          </w:p>
        </w:tc>
        <w:tc>
          <w:tcPr>
            <w:vAlign w:val="center"/>
          </w:tcPr>
          <w:p>
            <w:r>
              <w:t>1.56</w:t>
            </w:r>
          </w:p>
        </w:tc>
        <w:tc>
          <w:tcPr>
            <w:vAlign w:val="center"/>
          </w:tcPr>
          <w:p>
            <w:r>
              <w:t>1.10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5049</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5050</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5053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5054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5055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5056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11.20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5057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5058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5059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12.88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12.87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12.43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5069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12.41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12.48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5079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5080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5081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5082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5083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5084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6</w:t>
            </w:r>
          </w:p>
        </w:tc>
        <w:tc>
          <w:tcPr>
            <w:vMerge w:val="restart"/>
            <w:vAlign w:val="center"/>
          </w:tcPr>
          <w:p>
            <w:r>
              <w:t>1-C</w:t>
            </w:r>
          </w:p>
        </w:tc>
        <w:tc>
          <w:tcPr>
            <w:vAlign w:val="center"/>
          </w:tcPr>
          <w:p>
            <w:r>
              <w:t>6001</w:t>
            </w:r>
          </w:p>
        </w:tc>
        <w:tc>
          <w:tcPr>
            <w:vAlign w:val="center"/>
          </w:tcPr>
          <w:p>
            <w:r>
              <w:t>过道</w:t>
            </w:r>
          </w:p>
        </w:tc>
        <w:tc>
          <w:tcPr>
            <w:vAlign w:val="center"/>
          </w:tcPr>
          <w:p>
            <w:r>
              <w:t>V</w:t>
            </w:r>
          </w:p>
        </w:tc>
        <w:tc>
          <w:tcPr>
            <w:vAlign w:val="center"/>
          </w:tcPr>
          <w:p>
            <w:r>
              <w:t>侧面</w:t>
            </w:r>
          </w:p>
        </w:tc>
        <w:tc>
          <w:tcPr>
            <w:vAlign w:val="center"/>
          </w:tcPr>
          <w:p>
            <w:r>
              <w:t>241.24</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6002</w:t>
            </w:r>
          </w:p>
        </w:tc>
        <w:tc>
          <w:tcPr>
            <w:vAlign w:val="center"/>
          </w:tcPr>
          <w:p>
            <w:r>
              <w:t>过道</w:t>
            </w:r>
          </w:p>
        </w:tc>
        <w:tc>
          <w:tcPr>
            <w:vAlign w:val="center"/>
          </w:tcPr>
          <w:p>
            <w:r>
              <w:t>V</w:t>
            </w:r>
          </w:p>
        </w:tc>
        <w:tc>
          <w:tcPr>
            <w:vAlign w:val="center"/>
          </w:tcPr>
          <w:p>
            <w:r>
              <w:t>侧面</w:t>
            </w:r>
          </w:p>
        </w:tc>
        <w:tc>
          <w:tcPr>
            <w:vAlign w:val="center"/>
          </w:tcPr>
          <w:p>
            <w:r>
              <w:t>63.39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6003</w:t>
            </w:r>
          </w:p>
        </w:tc>
        <w:tc>
          <w:tcPr>
            <w:vAlign w:val="center"/>
          </w:tcPr>
          <w:p>
            <w:r>
              <w:t>过道</w:t>
            </w:r>
          </w:p>
        </w:tc>
        <w:tc>
          <w:tcPr>
            <w:vAlign w:val="center"/>
          </w:tcPr>
          <w:p>
            <w:r>
              <w:t>V</w:t>
            </w:r>
          </w:p>
        </w:tc>
        <w:tc>
          <w:tcPr>
            <w:vAlign w:val="center"/>
          </w:tcPr>
          <w:p>
            <w:r>
              <w:t>侧面</w:t>
            </w:r>
          </w:p>
        </w:tc>
        <w:tc>
          <w:tcPr>
            <w:vAlign w:val="center"/>
          </w:tcPr>
          <w:p>
            <w:r>
              <w:t>63.39</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6004</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6005</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6006</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6007</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6008</w:t>
            </w:r>
          </w:p>
        </w:tc>
        <w:tc>
          <w:tcPr>
            <w:vAlign w:val="center"/>
          </w:tcPr>
          <w:p>
            <w:r>
              <w:t>起居室</w:t>
            </w:r>
          </w:p>
        </w:tc>
        <w:tc>
          <w:tcPr>
            <w:vAlign w:val="center"/>
          </w:tcPr>
          <w:p>
            <w:r>
              <w:t>IV</w:t>
            </w:r>
          </w:p>
        </w:tc>
        <w:tc>
          <w:tcPr>
            <w:vAlign w:val="center"/>
          </w:tcPr>
          <w:p>
            <w:r>
              <w:t>侧面</w:t>
            </w:r>
          </w:p>
        </w:tc>
        <w:tc>
          <w:tcPr>
            <w:vAlign w:val="center"/>
          </w:tcPr>
          <w:p>
            <w:r>
              <w:t>22.41</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6009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1.32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6019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6029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1.21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6039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6049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6050</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6051</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6054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6055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6056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6057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6058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13.53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6059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11.65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6069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12.76</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6079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11.99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12.32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6089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6090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12.64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7</w:t>
            </w:r>
          </w:p>
        </w:tc>
        <w:tc>
          <w:tcPr>
            <w:vMerge w:val="restart"/>
            <w:vAlign w:val="center"/>
          </w:tcPr>
          <w:p>
            <w:r>
              <w:t>1-E</w:t>
            </w:r>
          </w:p>
        </w:tc>
        <w:tc>
          <w:tcPr>
            <w:vAlign w:val="center"/>
          </w:tcPr>
          <w:p>
            <w:r>
              <w:t>7001</w:t>
            </w:r>
          </w:p>
        </w:tc>
        <w:tc>
          <w:tcPr>
            <w:vAlign w:val="center"/>
          </w:tcPr>
          <w:p>
            <w:r>
              <w:t>过道</w:t>
            </w:r>
          </w:p>
        </w:tc>
        <w:tc>
          <w:tcPr>
            <w:vAlign w:val="center"/>
          </w:tcPr>
          <w:p>
            <w:r>
              <w:t>V</w:t>
            </w:r>
          </w:p>
        </w:tc>
        <w:tc>
          <w:tcPr>
            <w:vAlign w:val="center"/>
          </w:tcPr>
          <w:p>
            <w:r>
              <w:t>侧面</w:t>
            </w:r>
          </w:p>
        </w:tc>
        <w:tc>
          <w:tcPr>
            <w:vAlign w:val="center"/>
          </w:tcPr>
          <w:p>
            <w:r>
              <w:t>241.24</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7002</w:t>
            </w:r>
          </w:p>
        </w:tc>
        <w:tc>
          <w:tcPr>
            <w:vAlign w:val="center"/>
          </w:tcPr>
          <w:p>
            <w:r>
              <w:t>起居室</w:t>
            </w:r>
          </w:p>
        </w:tc>
        <w:tc>
          <w:tcPr>
            <w:vAlign w:val="center"/>
          </w:tcPr>
          <w:p>
            <w:r>
              <w:t>IV</w:t>
            </w:r>
          </w:p>
        </w:tc>
        <w:tc>
          <w:tcPr>
            <w:vAlign w:val="center"/>
          </w:tcPr>
          <w:p>
            <w:r>
              <w:t>侧面</w:t>
            </w:r>
          </w:p>
        </w:tc>
        <w:tc>
          <w:tcPr>
            <w:vAlign w:val="center"/>
          </w:tcPr>
          <w:p>
            <w:r>
              <w:t>17.26</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7003</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7004</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7005</w:t>
            </w:r>
          </w:p>
        </w:tc>
        <w:tc>
          <w:tcPr>
            <w:vAlign w:val="center"/>
          </w:tcPr>
          <w:p>
            <w:r>
              <w:t>卫生间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7006</w:t>
            </w:r>
          </w:p>
        </w:tc>
        <w:tc>
          <w:tcPr>
            <w:vAlign w:val="center"/>
          </w:tcPr>
          <w:p>
            <w:r>
              <w:t>起居室</w:t>
            </w:r>
          </w:p>
        </w:tc>
        <w:tc>
          <w:tcPr>
            <w:vAlign w:val="center"/>
          </w:tcPr>
          <w:p>
            <w:r>
              <w:t>IV</w:t>
            </w:r>
          </w:p>
        </w:tc>
        <w:tc>
          <w:tcPr>
            <w:vAlign w:val="center"/>
          </w:tcPr>
          <w:p>
            <w:r>
              <w:t>侧面</w:t>
            </w:r>
          </w:p>
        </w:tc>
        <w:tc>
          <w:tcPr>
            <w:vAlign w:val="center"/>
          </w:tcPr>
          <w:p>
            <w:r>
              <w:t>22.41</w:t>
            </w:r>
          </w:p>
        </w:tc>
        <w:tc>
          <w:tcPr>
            <w:vAlign w:val="center"/>
          </w:tcPr>
          <w:p>
            <w:r>
              <w:t>0.15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7007</w:t>
            </w:r>
          </w:p>
        </w:tc>
        <w:tc>
          <w:tcPr>
            <w:vAlign w:val="center"/>
          </w:tcPr>
          <w:p>
            <w:r>
              <w:t>楼梯间</w:t>
            </w:r>
          </w:p>
        </w:tc>
        <w:tc>
          <w:tcPr>
            <w:vAlign w:val="center"/>
          </w:tcPr>
          <w:p>
            <w:r>
              <w:t>V</w:t>
            </w:r>
          </w:p>
        </w:tc>
        <w:tc>
          <w:tcPr>
            <w:vAlign w:val="center"/>
          </w:tcPr>
          <w:p>
            <w:r>
              <w:t>侧面</w:t>
            </w:r>
          </w:p>
        </w:tc>
        <w:tc>
          <w:tcPr>
            <w:vAlign w:val="center"/>
          </w:tcPr>
          <w:p>
            <w:r>
              <w:t>22.41</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7008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7009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7019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7029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0.23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1.35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7039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7041</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7042</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7043</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1.13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7044</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7045</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1.33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7046</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7047</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7048</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1.11</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7049</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1.02</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7050</w:t>
            </w:r>
          </w:p>
        </w:tc>
        <w:tc>
          <w:tcPr>
            <w:vAlign w:val="center"/>
          </w:tcPr>
          <w:p>
            <w:r>
              <w:t>起居室</w:t>
            </w:r>
          </w:p>
        </w:tc>
        <w:tc>
          <w:tcPr>
            <w:vAlign w:val="center"/>
          </w:tcPr>
          <w:p>
            <w:r>
              <w:t>IV</w:t>
            </w:r>
          </w:p>
        </w:tc>
        <w:tc>
          <w:tcPr>
            <w:vAlign w:val="center"/>
          </w:tcPr>
          <w:p>
            <w:r>
              <w:t>侧面</w:t>
            </w:r>
          </w:p>
        </w:tc>
        <w:tc>
          <w:tcPr>
            <w:vAlign w:val="center"/>
          </w:tcPr>
          <w:p>
            <w:r>
              <w:t>17.08</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7051</w:t>
            </w:r>
          </w:p>
        </w:tc>
        <w:tc>
          <w:tcPr>
            <w:vAlign w:val="center"/>
          </w:tcPr>
          <w:p>
            <w:r>
              <w:t>起居室</w:t>
            </w:r>
          </w:p>
        </w:tc>
        <w:tc>
          <w:tcPr>
            <w:vAlign w:val="center"/>
          </w:tcPr>
          <w:p>
            <w:r>
              <w:t>IV</w:t>
            </w:r>
          </w:p>
        </w:tc>
        <w:tc>
          <w:tcPr>
            <w:vAlign w:val="center"/>
          </w:tcPr>
          <w:p>
            <w:r>
              <w:t>侧面</w:t>
            </w:r>
          </w:p>
        </w:tc>
        <w:tc>
          <w:tcPr>
            <w:vAlign w:val="center"/>
          </w:tcPr>
          <w:p>
            <w:r>
              <w:t>17.06</w:t>
            </w:r>
          </w:p>
        </w:tc>
        <w:tc>
          <w:tcPr>
            <w:vAlign w:val="center"/>
          </w:tcPr>
          <w:p>
            <w:r>
              <w:t>0.07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7052</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7053</w:t>
            </w:r>
          </w:p>
        </w:tc>
        <w:tc>
          <w:tcPr>
            <w:vAlign w:val="center"/>
          </w:tcPr>
          <w:p>
            <w:r>
              <w:t>卫生间</w:t>
            </w:r>
          </w:p>
        </w:tc>
        <w:tc>
          <w:tcPr>
            <w:vAlign w:val="center"/>
          </w:tcPr>
          <w:p>
            <w:r>
              <w:t>V</w:t>
            </w:r>
          </w:p>
        </w:tc>
        <w:tc>
          <w:tcPr>
            <w:vAlign w:val="center"/>
          </w:tcPr>
          <w:p>
            <w:r>
              <w:t>侧面</w:t>
            </w:r>
          </w:p>
        </w:tc>
        <w:tc>
          <w:tcPr>
            <w:vAlign w:val="center"/>
          </w:tcPr>
          <w:p>
            <w:r>
              <w:t>16.08</w:t>
            </w:r>
          </w:p>
        </w:tc>
        <w:tc>
          <w:tcPr>
            <w:vAlign w:val="center"/>
          </w:tcPr>
          <w:p>
            <w:r>
              <w:t>0.00</w:t>
            </w:r>
          </w:p>
        </w:tc>
        <w:tc>
          <w:tcPr>
            <w:vAlign w:val="center"/>
          </w:tcPr>
          <w:p>
            <w:r>
              <w:t>1.10</w:t>
            </w:r>
          </w:p>
        </w:tc>
        <w:tc>
          <w:tcPr>
            <w:vAlign w:val="center"/>
          </w:tcPr>
          <w:p>
            <w:r>
              <w:rPr>
                <w:color w:val="FF00FF"/>
              </w:rPr>
              <w:t>未计算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7056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12.15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7057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7058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7059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0.43</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7069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12.18</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0.57</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12.10</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11.87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7079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12.14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12.13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12.05</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11.99</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11.87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12.82</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7087</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7088</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0.49</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7089</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7090</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0.50</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7091</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12.04</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7092</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7093</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0.56</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7094</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12.21</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7095</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12.23</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7096</w:t>
            </w:r>
          </w:p>
        </w:tc>
        <w:tc>
          <w:tcPr>
            <w:vAlign w:val="center"/>
          </w:tcPr>
          <w:p>
            <w:r>
              <w:t>起居室</w:t>
            </w:r>
          </w:p>
        </w:tc>
        <w:tc>
          <w:tcPr>
            <w:vAlign w:val="center"/>
          </w:tcPr>
          <w:p>
            <w:r>
              <w:t>IV</w:t>
            </w:r>
          </w:p>
        </w:tc>
        <w:tc>
          <w:tcPr>
            <w:vAlign w:val="center"/>
          </w:tcPr>
          <w:p>
            <w:r>
              <w:t>侧面</w:t>
            </w:r>
          </w:p>
        </w:tc>
        <w:tc>
          <w:tcPr>
            <w:vAlign w:val="center"/>
          </w:tcPr>
          <w:p>
            <w:r>
              <w:t>4.43</w:t>
            </w:r>
          </w:p>
        </w:tc>
        <w:tc>
          <w:tcPr>
            <w:vAlign w:val="center"/>
          </w:tcPr>
          <w:p>
            <w:r>
              <w:t>12.57</w:t>
            </w:r>
          </w:p>
        </w:tc>
        <w:tc>
          <w:tcPr>
            <w:vAlign w:val="center"/>
          </w:tcPr>
          <w:p>
            <w:r>
              <w:t>2.20</w:t>
            </w:r>
          </w:p>
        </w:tc>
        <w:tc>
          <w:tcPr>
            <w:vAlign w:val="center"/>
          </w:tcPr>
          <w:p>
            <w:r>
              <w:rPr>
                <w:b/>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7097</w:t>
            </w:r>
          </w:p>
        </w:tc>
        <w:tc>
          <w:tcPr>
            <w:vAlign w:val="center"/>
          </w:tcPr>
          <w:p>
            <w:r>
              <w:t>起居室</w:t>
            </w:r>
          </w:p>
        </w:tc>
        <w:tc>
          <w:tcPr>
            <w:vAlign w:val="center"/>
          </w:tcPr>
          <w:p>
            <w:r>
              <w:t>IV</w:t>
            </w:r>
          </w:p>
        </w:tc>
        <w:tc>
          <w:tcPr>
            <w:vAlign w:val="center"/>
          </w:tcPr>
          <w:p>
            <w:r>
              <w:t>侧面</w:t>
            </w:r>
          </w:p>
        </w:tc>
        <w:tc>
          <w:tcPr>
            <w:vAlign w:val="center"/>
          </w:tcPr>
          <w:p>
            <w:r>
              <w:t>4.49</w:t>
            </w:r>
          </w:p>
        </w:tc>
        <w:tc>
          <w:tcPr>
            <w:vAlign w:val="center"/>
          </w:tcPr>
          <w:p>
            <w:r>
              <w:t>0.48</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7098</w:t>
            </w:r>
          </w:p>
        </w:tc>
        <w:tc>
          <w:tcPr>
            <w:vAlign w:val="center"/>
          </w:tcPr>
          <w:p>
            <w:r>
              <w:t>起居室</w:t>
            </w:r>
          </w:p>
        </w:tc>
        <w:tc>
          <w:tcPr>
            <w:vAlign w:val="center"/>
          </w:tcPr>
          <w:p>
            <w:r>
              <w:t>IV</w:t>
            </w:r>
          </w:p>
        </w:tc>
        <w:tc>
          <w:tcPr>
            <w:vAlign w:val="center"/>
          </w:tcPr>
          <w:p>
            <w:r>
              <w:t>侧面</w:t>
            </w:r>
          </w:p>
        </w:tc>
        <w:tc>
          <w:tcPr>
            <w:vAlign w:val="center"/>
          </w:tcPr>
          <w:p>
            <w:r>
              <w:t>4.45</w:t>
            </w:r>
          </w:p>
        </w:tc>
        <w:tc>
          <w:tcPr>
            <w:vAlign w:val="center"/>
          </w:tcPr>
          <w:p>
            <w:r>
              <w:t>0.54</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7099</w:t>
            </w:r>
          </w:p>
        </w:tc>
        <w:tc>
          <w:tcPr>
            <w:vAlign w:val="center"/>
          </w:tcPr>
          <w:p>
            <w:r>
              <w:t>起居室</w:t>
            </w:r>
          </w:p>
        </w:tc>
        <w:tc>
          <w:tcPr>
            <w:vAlign w:val="center"/>
          </w:tcPr>
          <w:p>
            <w:r>
              <w:t>IV</w:t>
            </w:r>
          </w:p>
        </w:tc>
        <w:tc>
          <w:tcPr>
            <w:vAlign w:val="center"/>
          </w:tcPr>
          <w:p>
            <w:r>
              <w:t>侧面</w:t>
            </w:r>
          </w:p>
        </w:tc>
        <w:tc>
          <w:tcPr>
            <w:vAlign w:val="center"/>
          </w:tcPr>
          <w:p>
            <w:r>
              <w:t>4.45</w:t>
            </w:r>
          </w:p>
        </w:tc>
        <w:tc>
          <w:tcPr>
            <w:vAlign w:val="center"/>
          </w:tcPr>
          <w:p>
            <w:r>
              <w:t>0.55</w:t>
            </w:r>
          </w:p>
        </w:tc>
        <w:tc>
          <w:tcPr>
            <w:vAlign w:val="center"/>
          </w:tcPr>
          <w:p>
            <w:r>
              <w:t>2.20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7100</w:t>
            </w:r>
          </w:p>
        </w:tc>
        <w:tc>
          <w:tcPr>
            <w:vAlign w:val="center"/>
          </w:tcPr>
          <w:p>
            <w:r>
              <w:t>起居室</w:t>
            </w:r>
          </w:p>
        </w:tc>
        <w:tc>
          <w:tcPr>
            <w:vAlign w:val="center"/>
          </w:tcPr>
          <w:p>
            <w:r>
              <w:t>IV</w:t>
            </w:r>
          </w:p>
        </w:tc>
        <w:tc>
          <w:tcPr>
            <w:vAlign w:val="center"/>
          </w:tcPr>
          <w:p>
            <w:r>
              <w:t>侧面</w:t>
            </w:r>
          </w:p>
        </w:tc>
        <w:tc>
          <w:tcPr>
            <w:vAlign w:val="center"/>
          </w:tcPr>
          <w:p>
            <w:r>
              <w:t>4.44</w:t>
            </w:r>
          </w:p>
        </w:tc>
        <w:tc>
          <w:tcPr>
            <w:vAlign w:val="center"/>
          </w:tcPr>
          <w:p>
            <w:r>
              <w:t>0.56</w:t>
            </w:r>
          </w:p>
        </w:tc>
        <w:tc>
          <w:tcPr>
            <w:vAlign w:val="center"/>
          </w:tcPr>
          <w:p>
            <w:r>
              <w:t>2.20</w:t>
            </w:r>
          </w:p>
        </w:tc>
        <w:tc>
          <w:tcPr>
            <w:vAlign w:val="center"/>
          </w:tcPr>
          <w:p>
            <w:r>
              <w:rPr>
                <w:b/>
                <w:color w:val="FF0000"/>
              </w:rPr>
              <w:t>不满足</w:t>
            </w:r>
          </w:p>
        </w:tc>
      </w:tr>
    </w:tbl>
    <w:p>
      <w:pPr>
        <w:pStyle w:val="3"/>
        <w:ind w:firstLine="420"/>
        <w:rPr>
          <w:lang w:val="en-US"/>
        </w:rPr>
      </w:pPr>
    </w:p>
    <w:p>
      <w:pPr>
        <w:pStyle w:val="4"/>
      </w:pPr>
      <w:bookmarkStart w:id="78" w:name="_Toc7223"/>
      <w:r>
        <w:rPr>
          <w:rFonts w:hint="eastAsia"/>
        </w:rPr>
        <w:t>户型统计结果</w:t>
      </w:r>
      <w:bookmarkEnd w:id="78"/>
    </w:p>
    <w:p>
      <w:pPr>
        <w:pStyle w:val="3"/>
        <w:ind w:firstLine="420"/>
        <w:rPr>
          <w:lang w:val="en-US"/>
        </w:rPr>
      </w:pPr>
      <w:r>
        <w:rPr>
          <w:rFonts w:hint="eastAsia"/>
          <w:lang w:val="en-US"/>
        </w:rPr>
        <w:t>户型每套住宅至少应有一个居住空间满足采光系数标准要求，当一套住宅中居住空间总数超过</w:t>
      </w:r>
      <w:r>
        <w:rPr>
          <w:lang w:val="en-US"/>
        </w:rPr>
        <w:t>4个时，其中应有2个及以上满足采光系数标准要求。</w:t>
      </w:r>
      <w:r>
        <w:rPr>
          <w:rFonts w:hint="eastAsia"/>
        </w:rPr>
        <w:t>汇总</w:t>
      </w:r>
      <w:r>
        <w:rPr>
          <w:rFonts w:hint="eastAsia"/>
          <w:lang w:val="en-US"/>
        </w:rPr>
        <w:t>统计结果如下：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0"/>
        <w:gridCol w:w="2260"/>
        <w:gridCol w:w="2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60" w:type="dxa"/>
            <w:vAlign w:val="center"/>
          </w:tcPr>
          <w:p>
            <w:pPr>
              <w:rPr>
                <w:lang w:val="en-US"/>
              </w:rPr>
            </w:pPr>
            <w:r>
              <w:rPr>
                <w:rFonts w:hint="eastAsia"/>
                <w:lang w:val="en-US"/>
              </w:rPr>
              <w:t>总户数</w:t>
            </w:r>
          </w:p>
        </w:tc>
        <w:tc>
          <w:tcPr>
            <w:tcW w:w="2260" w:type="dxa"/>
            <w:vAlign w:val="center"/>
          </w:tcPr>
          <w:p>
            <w:pPr>
              <w:rPr>
                <w:lang w:val="en-US"/>
              </w:rPr>
            </w:pPr>
            <w:r>
              <w:rPr>
                <w:rFonts w:hint="eastAsia"/>
                <w:lang w:val="en-US"/>
              </w:rPr>
              <w:t>达标户数</w:t>
            </w:r>
          </w:p>
        </w:tc>
        <w:tc>
          <w:tcPr>
            <w:tcW w:w="2260" w:type="dxa"/>
            <w:vAlign w:val="center"/>
          </w:tcPr>
          <w:p>
            <w:pPr>
              <w:rPr>
                <w:lang w:val="en-US"/>
              </w:rPr>
            </w:pPr>
            <w:r>
              <w:rPr>
                <w:rFonts w:hint="eastAsia"/>
                <w:lang w:val="en-US"/>
              </w:rPr>
              <w:t>不达标户数</w:t>
            </w:r>
          </w:p>
        </w:tc>
        <w:tc>
          <w:tcPr>
            <w:tcW w:w="2260" w:type="dxa"/>
            <w:vAlign w:val="center"/>
          </w:tcPr>
          <w:p>
            <w:pPr>
              <w:rPr>
                <w:lang w:val="en-US"/>
              </w:rPr>
            </w:pPr>
            <w:r>
              <w:rPr>
                <w:rFonts w:hint="eastAsia"/>
                <w:lang w:val="en-US"/>
              </w:rPr>
              <w:t>不达标户型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60" w:type="dxa"/>
            <w:vAlign w:val="center"/>
          </w:tcPr>
          <w:p>
            <w:pPr>
              <w:rPr>
                <w:lang w:val="en-US"/>
              </w:rPr>
            </w:pPr>
            <w:bookmarkStart w:id="79" w:name="总户数1"/>
            <w:r>
              <w:t>7</w:t>
            </w:r>
            <w:bookmarkEnd w:id="79"/>
          </w:p>
        </w:tc>
        <w:tc>
          <w:tcPr>
            <w:tcW w:w="2260" w:type="dxa"/>
            <w:vAlign w:val="center"/>
          </w:tcPr>
          <w:p>
            <w:pPr>
              <w:rPr>
                <w:lang w:val="en-US"/>
              </w:rPr>
            </w:pPr>
            <w:bookmarkStart w:id="80" w:name="达标户数1"/>
            <w:r>
              <w:t>1</w:t>
            </w:r>
            <w:bookmarkEnd w:id="80"/>
          </w:p>
        </w:tc>
        <w:tc>
          <w:tcPr>
            <w:tcW w:w="2260" w:type="dxa"/>
            <w:vAlign w:val="center"/>
          </w:tcPr>
          <w:p>
            <w:pPr>
              <w:rPr>
                <w:lang w:val="en-US"/>
              </w:rPr>
            </w:pPr>
            <w:bookmarkStart w:id="81" w:name="不达标户数1"/>
            <w:r>
              <w:t>6</w:t>
            </w:r>
            <w:bookmarkEnd w:id="81"/>
          </w:p>
        </w:tc>
        <w:tc>
          <w:tcPr>
            <w:tcW w:w="2260" w:type="dxa"/>
            <w:vAlign w:val="center"/>
          </w:tcPr>
          <w:p>
            <w:pPr>
              <w:rPr>
                <w:lang w:val="en-US"/>
              </w:rPr>
            </w:pPr>
            <w:bookmarkStart w:id="82" w:name="不达标户型"/>
            <w:r>
              <w:t>1-G 1-F 1-A 1-D 1-C 1-E</w:t>
            </w:r>
            <w:bookmarkEnd w:id="82"/>
          </w:p>
        </w:tc>
      </w:tr>
    </w:tbl>
    <w:p>
      <w:pPr>
        <w:pStyle w:val="3"/>
        <w:spacing w:line="360" w:lineRule="exact"/>
        <w:ind w:firstLine="420"/>
      </w:pPr>
    </w:p>
    <w:p>
      <w:pPr>
        <w:pStyle w:val="3"/>
        <w:ind w:firstLine="420"/>
        <w:rPr>
          <w:lang w:val="en-US"/>
        </w:rPr>
      </w:pPr>
    </w:p>
    <w:p>
      <w:pPr>
        <w:pStyle w:val="2"/>
      </w:pPr>
      <w:bookmarkStart w:id="83" w:name="_Toc32351"/>
      <w:r>
        <w:rPr>
          <w:rFonts w:hint="eastAsia"/>
        </w:rPr>
        <w:t>采光</w:t>
      </w:r>
      <w:r>
        <w:t>效果分析</w:t>
      </w:r>
      <w:r>
        <w:rPr>
          <w:rFonts w:hint="eastAsia"/>
        </w:rPr>
        <w:t>彩图</w:t>
      </w:r>
      <w:bookmarkEnd w:id="83"/>
    </w:p>
    <w:p>
      <w:pPr>
        <w:pStyle w:val="3"/>
        <w:spacing w:line="360" w:lineRule="exact"/>
        <w:ind w:firstLine="420"/>
        <w:rPr>
          <w:lang w:val="en-US"/>
        </w:rPr>
      </w:pPr>
      <w:r>
        <w:rPr>
          <w:rFonts w:hint="eastAsia"/>
          <w:lang w:val="en-US"/>
        </w:rPr>
        <w:t>采光系数分析彩图可以直观地反应建筑内各个房间的采光效果，本项目中各楼层中主要功能房间的室内采光系数情况如下所示：</w:t>
      </w:r>
    </w:p>
    <w:p>
      <w:pPr>
        <w:rPr>
          <w:lang w:val="en-US"/>
        </w:rPr>
      </w:pPr>
      <w:bookmarkStart w:id="84" w:name="彩图"/>
      <w:bookmarkEnd w:id="84"/>
    </w:p>
    <w:p>
      <w:pPr>
        <w:pStyle w:val="3"/>
        <w:tabs>
          <w:tab w:val="left" w:pos="900"/>
        </w:tabs>
        <w:jc w:val="center"/>
        <w:rPr>
          <w:lang w:val="en-US"/>
        </w:rPr>
      </w:pPr>
      <w:r>
        <w:drawing>
          <wp:inline distT="0" distB="0" distL="0" distR="0">
            <wp:extent cx="5667375" cy="10096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9"/>
                    <a:stretch>
                      <a:fillRect/>
                    </a:stretch>
                  </pic:blipFill>
                  <pic:spPr>
                    <a:xfrm>
                      <a:off x="0" y="0"/>
                      <a:ext cx="5667375" cy="1009650"/>
                    </a:xfrm>
                    <a:prstGeom prst="rect">
                      <a:avLst/>
                    </a:prstGeom>
                  </pic:spPr>
                </pic:pic>
              </a:graphicData>
            </a:graphic>
          </wp:inline>
        </w:drawing>
      </w:r>
    </w:p>
    <w:p>
      <w:pPr>
        <w:pStyle w:val="3"/>
        <w:tabs>
          <w:tab w:val="left" w:pos="900"/>
        </w:tabs>
        <w:jc w:val="center"/>
        <w:rPr>
          <w:lang w:val="en-US"/>
        </w:rPr>
      </w:pPr>
      <w:r>
        <w:rPr>
          <w:lang w:val="en-US"/>
        </w:rPr>
        <w:t>1层</w:t>
      </w:r>
    </w:p>
    <w:p>
      <w:pPr>
        <w:pStyle w:val="3"/>
        <w:tabs>
          <w:tab w:val="left" w:pos="900"/>
        </w:tabs>
        <w:jc w:val="center"/>
        <w:rPr>
          <w:lang w:val="en-US"/>
        </w:rPr>
      </w:pPr>
      <w:r>
        <w:drawing>
          <wp:inline distT="0" distB="0" distL="0" distR="0">
            <wp:extent cx="5667375" cy="10858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0"/>
                    <a:stretch>
                      <a:fillRect/>
                    </a:stretch>
                  </pic:blipFill>
                  <pic:spPr>
                    <a:xfrm>
                      <a:off x="0" y="0"/>
                      <a:ext cx="5667375" cy="1085850"/>
                    </a:xfrm>
                    <a:prstGeom prst="rect">
                      <a:avLst/>
                    </a:prstGeom>
                  </pic:spPr>
                </pic:pic>
              </a:graphicData>
            </a:graphic>
          </wp:inline>
        </w:drawing>
      </w:r>
    </w:p>
    <w:p>
      <w:pPr>
        <w:pStyle w:val="3"/>
        <w:tabs>
          <w:tab w:val="left" w:pos="900"/>
        </w:tabs>
        <w:jc w:val="center"/>
        <w:rPr>
          <w:lang w:val="en-US"/>
        </w:rPr>
      </w:pPr>
      <w:r>
        <w:rPr>
          <w:lang w:val="en-US"/>
        </w:rPr>
        <w:t>2层</w:t>
      </w:r>
    </w:p>
    <w:p>
      <w:pPr>
        <w:pStyle w:val="3"/>
        <w:tabs>
          <w:tab w:val="left" w:pos="900"/>
        </w:tabs>
        <w:jc w:val="center"/>
        <w:rPr>
          <w:lang w:val="en-US"/>
        </w:rPr>
      </w:pPr>
      <w:r>
        <w:drawing>
          <wp:inline distT="0" distB="0" distL="0" distR="0">
            <wp:extent cx="5667375" cy="11334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1"/>
                    <a:stretch>
                      <a:fillRect/>
                    </a:stretch>
                  </pic:blipFill>
                  <pic:spPr>
                    <a:xfrm>
                      <a:off x="0" y="0"/>
                      <a:ext cx="5667375" cy="1133475"/>
                    </a:xfrm>
                    <a:prstGeom prst="rect">
                      <a:avLst/>
                    </a:prstGeom>
                  </pic:spPr>
                </pic:pic>
              </a:graphicData>
            </a:graphic>
          </wp:inline>
        </w:drawing>
      </w:r>
    </w:p>
    <w:p>
      <w:pPr>
        <w:pStyle w:val="3"/>
        <w:tabs>
          <w:tab w:val="left" w:pos="900"/>
        </w:tabs>
        <w:jc w:val="center"/>
        <w:rPr>
          <w:lang w:val="en-US"/>
        </w:rPr>
      </w:pPr>
      <w:r>
        <w:rPr>
          <w:lang w:val="en-US"/>
        </w:rPr>
        <w:t>3层</w:t>
      </w:r>
    </w:p>
    <w:p>
      <w:pPr>
        <w:pStyle w:val="3"/>
        <w:tabs>
          <w:tab w:val="left" w:pos="900"/>
        </w:tabs>
        <w:jc w:val="center"/>
        <w:rPr>
          <w:lang w:val="en-US"/>
        </w:rPr>
      </w:pPr>
      <w:r>
        <w:drawing>
          <wp:inline distT="0" distB="0" distL="0" distR="0">
            <wp:extent cx="5667375" cy="11334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2"/>
                    <a:stretch>
                      <a:fillRect/>
                    </a:stretch>
                  </pic:blipFill>
                  <pic:spPr>
                    <a:xfrm>
                      <a:off x="0" y="0"/>
                      <a:ext cx="5667375" cy="1133475"/>
                    </a:xfrm>
                    <a:prstGeom prst="rect">
                      <a:avLst/>
                    </a:prstGeom>
                  </pic:spPr>
                </pic:pic>
              </a:graphicData>
            </a:graphic>
          </wp:inline>
        </w:drawing>
      </w:r>
    </w:p>
    <w:p>
      <w:pPr>
        <w:pStyle w:val="3"/>
        <w:tabs>
          <w:tab w:val="left" w:pos="900"/>
        </w:tabs>
        <w:jc w:val="center"/>
        <w:rPr>
          <w:lang w:val="en-US"/>
        </w:rPr>
      </w:pPr>
      <w:r>
        <w:rPr>
          <w:lang w:val="en-US"/>
        </w:rPr>
        <w:t>4层</w:t>
      </w:r>
    </w:p>
    <w:p>
      <w:pPr>
        <w:pStyle w:val="3"/>
        <w:tabs>
          <w:tab w:val="left" w:pos="900"/>
        </w:tabs>
        <w:jc w:val="center"/>
        <w:rPr>
          <w:lang w:val="en-US"/>
        </w:rPr>
      </w:pPr>
      <w:r>
        <w:drawing>
          <wp:inline distT="0" distB="0" distL="0" distR="0">
            <wp:extent cx="5667375" cy="11334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3"/>
                    <a:stretch>
                      <a:fillRect/>
                    </a:stretch>
                  </pic:blipFill>
                  <pic:spPr>
                    <a:xfrm>
                      <a:off x="0" y="0"/>
                      <a:ext cx="5667375" cy="1133475"/>
                    </a:xfrm>
                    <a:prstGeom prst="rect">
                      <a:avLst/>
                    </a:prstGeom>
                  </pic:spPr>
                </pic:pic>
              </a:graphicData>
            </a:graphic>
          </wp:inline>
        </w:drawing>
      </w:r>
    </w:p>
    <w:p>
      <w:pPr>
        <w:pStyle w:val="3"/>
        <w:tabs>
          <w:tab w:val="left" w:pos="900"/>
        </w:tabs>
        <w:jc w:val="center"/>
        <w:rPr>
          <w:lang w:val="en-US"/>
        </w:rPr>
      </w:pPr>
      <w:r>
        <w:rPr>
          <w:lang w:val="en-US"/>
        </w:rPr>
        <w:t>5层</w:t>
      </w:r>
    </w:p>
    <w:p>
      <w:pPr>
        <w:pStyle w:val="3"/>
        <w:tabs>
          <w:tab w:val="left" w:pos="900"/>
        </w:tabs>
        <w:jc w:val="center"/>
        <w:rPr>
          <w:lang w:val="en-US"/>
        </w:rPr>
      </w:pPr>
      <w:r>
        <w:drawing>
          <wp:inline distT="0" distB="0" distL="0" distR="0">
            <wp:extent cx="5667375" cy="11334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4"/>
                    <a:stretch>
                      <a:fillRect/>
                    </a:stretch>
                  </pic:blipFill>
                  <pic:spPr>
                    <a:xfrm>
                      <a:off x="0" y="0"/>
                      <a:ext cx="5667375" cy="1133475"/>
                    </a:xfrm>
                    <a:prstGeom prst="rect">
                      <a:avLst/>
                    </a:prstGeom>
                  </pic:spPr>
                </pic:pic>
              </a:graphicData>
            </a:graphic>
          </wp:inline>
        </w:drawing>
      </w:r>
    </w:p>
    <w:p>
      <w:pPr>
        <w:pStyle w:val="3"/>
        <w:tabs>
          <w:tab w:val="left" w:pos="900"/>
        </w:tabs>
        <w:jc w:val="center"/>
        <w:rPr>
          <w:lang w:val="en-US"/>
        </w:rPr>
      </w:pPr>
      <w:r>
        <w:rPr>
          <w:lang w:val="en-US"/>
        </w:rPr>
        <w:t>6层</w:t>
      </w:r>
    </w:p>
    <w:p>
      <w:pPr>
        <w:pStyle w:val="3"/>
        <w:tabs>
          <w:tab w:val="left" w:pos="900"/>
        </w:tabs>
        <w:jc w:val="center"/>
        <w:rPr>
          <w:lang w:val="en-US"/>
        </w:rPr>
      </w:pPr>
      <w:r>
        <w:drawing>
          <wp:inline distT="0" distB="0" distL="0" distR="0">
            <wp:extent cx="5667375" cy="10858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5"/>
                    <a:stretch>
                      <a:fillRect/>
                    </a:stretch>
                  </pic:blipFill>
                  <pic:spPr>
                    <a:xfrm>
                      <a:off x="0" y="0"/>
                      <a:ext cx="5667375" cy="1085850"/>
                    </a:xfrm>
                    <a:prstGeom prst="rect">
                      <a:avLst/>
                    </a:prstGeom>
                  </pic:spPr>
                </pic:pic>
              </a:graphicData>
            </a:graphic>
          </wp:inline>
        </w:drawing>
      </w:r>
    </w:p>
    <w:p>
      <w:pPr>
        <w:pStyle w:val="3"/>
        <w:tabs>
          <w:tab w:val="left" w:pos="900"/>
        </w:tabs>
        <w:jc w:val="center"/>
        <w:rPr>
          <w:lang w:val="en-US"/>
        </w:rPr>
      </w:pPr>
      <w:r>
        <w:rPr>
          <w:lang w:val="en-US"/>
        </w:rPr>
        <w:t>7层</w:t>
      </w:r>
    </w:p>
    <w:p>
      <w:pPr>
        <w:pStyle w:val="3"/>
        <w:tabs>
          <w:tab w:val="left" w:pos="900"/>
        </w:tabs>
        <w:jc w:val="center"/>
        <w:rPr>
          <w:lang w:val="en-US"/>
        </w:rPr>
      </w:pPr>
    </w:p>
    <w:p>
      <w:pPr>
        <w:pStyle w:val="2"/>
      </w:pPr>
      <w:bookmarkStart w:id="85" w:name="_Toc29035"/>
      <w:r>
        <w:rPr>
          <w:rFonts w:hint="eastAsia"/>
        </w:rPr>
        <w:t>结论</w:t>
      </w:r>
      <w:bookmarkEnd w:id="85"/>
    </w:p>
    <w:p>
      <w:pPr>
        <w:pStyle w:val="3"/>
        <w:tabs>
          <w:tab w:val="left" w:pos="900"/>
        </w:tabs>
        <w:spacing w:after="156" w:afterLines="50" w:line="360" w:lineRule="exact"/>
        <w:ind w:firstLine="420"/>
        <w:rPr>
          <w:rFonts w:asciiTheme="minorEastAsia" w:hAnsiTheme="minorEastAsia" w:eastAsiaTheme="minorEastAsia"/>
          <w:lang w:val="en-US"/>
        </w:rPr>
      </w:pPr>
      <w:r>
        <w:rPr>
          <w:rFonts w:hint="eastAsia"/>
          <w:lang w:val="en-US"/>
        </w:rPr>
        <w:t>通过对本建筑的采光模拟和统计分析，依据《建筑采光设计标准》</w:t>
      </w:r>
      <w:r>
        <w:rPr>
          <w:lang w:val="en-US"/>
        </w:rPr>
        <w:t>GB 50033-2013</w:t>
      </w:r>
      <w:r>
        <w:rPr>
          <w:rFonts w:hint="eastAsia"/>
          <w:lang w:val="en-US"/>
        </w:rPr>
        <w:t>和</w:t>
      </w:r>
      <w:r>
        <w:rPr>
          <w:lang w:val="en-US"/>
        </w:rPr>
        <w:t>《</w:t>
      </w:r>
      <w:r>
        <w:rPr>
          <w:rFonts w:hint="eastAsia"/>
          <w:lang w:val="en-US"/>
        </w:rPr>
        <w:t>民用建筑设计统一标准</w:t>
      </w:r>
      <w:r>
        <w:rPr>
          <w:lang w:val="en-US"/>
        </w:rPr>
        <w:t>》</w:t>
      </w:r>
      <w:r>
        <w:rPr>
          <w:rFonts w:hint="eastAsia"/>
          <w:lang w:val="en-US"/>
        </w:rPr>
        <w:t xml:space="preserve"> GB</w:t>
      </w:r>
      <w:r>
        <w:rPr>
          <w:lang w:val="en-US"/>
        </w:rPr>
        <w:t xml:space="preserve"> </w:t>
      </w:r>
      <w:r>
        <w:rPr>
          <w:rFonts w:hint="eastAsia"/>
          <w:lang w:val="en-US"/>
        </w:rPr>
        <w:t>50352-2019对住宅建筑的采光要求，本建筑总户数</w:t>
      </w:r>
      <w:bookmarkStart w:id="86" w:name="总户数"/>
      <w:r>
        <w:t>7</w:t>
      </w:r>
      <w:bookmarkEnd w:id="86"/>
      <w:r>
        <w:rPr>
          <w:rFonts w:hint="eastAsia"/>
        </w:rPr>
        <w:t>，其中</w:t>
      </w:r>
      <w:r>
        <w:rPr>
          <w:rFonts w:hint="eastAsia"/>
          <w:lang w:val="en-US"/>
        </w:rPr>
        <w:t>达标户数</w:t>
      </w:r>
      <w:bookmarkStart w:id="87" w:name="达标户数"/>
      <w:r>
        <w:t>1</w:t>
      </w:r>
      <w:bookmarkEnd w:id="87"/>
      <w:r>
        <w:rPr>
          <w:rFonts w:hint="eastAsia"/>
          <w:lang w:val="en-US"/>
        </w:rPr>
        <w:t>，未达标户数</w:t>
      </w:r>
      <w:bookmarkStart w:id="88" w:name="不达标户数"/>
      <w:r>
        <w:t>6</w:t>
      </w:r>
      <w:bookmarkEnd w:id="88"/>
      <w:r>
        <w:rPr>
          <w:rFonts w:hint="eastAsia"/>
        </w:rPr>
        <w:t>，本项目</w:t>
      </w:r>
      <w:bookmarkStart w:id="89" w:name="户型达标结论"/>
      <w:r>
        <w:rPr>
          <w:rFonts w:hint="eastAsia"/>
          <w:color w:val="FF0000"/>
        </w:rPr>
        <w:t>不达标</w:t>
      </w:r>
      <w:bookmarkEnd w:id="89"/>
      <w:r>
        <w:rPr>
          <w:rFonts w:hint="eastAsia"/>
        </w:rPr>
        <w:t>。</w:t>
      </w:r>
    </w:p>
    <w:p>
      <w:pPr>
        <w:pStyle w:val="3"/>
        <w:rPr>
          <w:lang w:val="en-US"/>
        </w:rPr>
      </w:pPr>
    </w:p>
    <w:p>
      <w:pPr>
        <w:pStyle w:val="3"/>
        <w:rPr>
          <w:lang w:val="en-US"/>
        </w:rPr>
      </w:pPr>
    </w:p>
    <w:p>
      <w:pPr>
        <w:pStyle w:val="3"/>
        <w:tabs>
          <w:tab w:val="left" w:pos="900"/>
        </w:tabs>
        <w:rPr>
          <w:lang w:val="en-US"/>
        </w:rPr>
      </w:pPr>
    </w:p>
    <w:p>
      <w:pPr>
        <w:spacing w:line="240" w:lineRule="auto"/>
        <w:jc w:val="left"/>
        <w:rPr>
          <w:b/>
          <w:sz w:val="28"/>
          <w:szCs w:val="28"/>
          <w:lang w:val="en-US"/>
        </w:rPr>
      </w:pPr>
      <w:r>
        <w:rPr>
          <w:lang w:val="en-US"/>
        </w:rPr>
        <w:br w:type="page"/>
      </w:r>
      <w:r>
        <w:rPr>
          <w:lang w:val="en-US"/>
        </w:rPr>
        <w:t xml:space="preserve"> </w:t>
      </w:r>
      <w:r>
        <w:rPr>
          <w:rFonts w:hint="eastAsia"/>
          <w:b/>
          <w:sz w:val="28"/>
          <w:szCs w:val="28"/>
          <w:lang w:val="en-US"/>
        </w:rPr>
        <w:t>附：项目总平面图</w:t>
      </w:r>
    </w:p>
    <w:p>
      <w:pPr>
        <w:pStyle w:val="3"/>
        <w:jc w:val="center"/>
        <w:rPr>
          <w:sz w:val="28"/>
          <w:szCs w:val="28"/>
          <w:lang w:val="en-US"/>
        </w:rPr>
      </w:pPr>
      <w:bookmarkStart w:id="90" w:name="总平面图"/>
      <w:bookmarkEnd w:id="90"/>
    </w:p>
    <w:p/>
    <w:sectPr>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微软雅黑" w:hAnsi="微软雅黑" w:eastAsia="微软雅黑"/>
      </w:rPr>
    </w:pPr>
    <w:r>
      <w:fldChar w:fldCharType="begin"/>
    </w:r>
    <w:r>
      <w:instrText xml:space="preserve"> HYPERLINK "http://www.gbsware.cn/" </w:instrText>
    </w:r>
    <w:r>
      <w:fldChar w:fldCharType="separate"/>
    </w:r>
    <w:r>
      <w:rPr>
        <w:rStyle w:val="23"/>
        <w:rFonts w:ascii="微软雅黑" w:hAnsi="微软雅黑" w:eastAsia="微软雅黑"/>
        <w:u w:val="none"/>
      </w:rPr>
      <w:t>http://www.gbsware.cn/</w:t>
    </w:r>
    <w:r>
      <w:rPr>
        <w:rStyle w:val="23"/>
        <w:rFonts w:ascii="微软雅黑" w:hAnsi="微软雅黑" w:eastAsia="微软雅黑"/>
        <w:u w:val="none"/>
      </w:rPr>
      <w:fldChar w:fldCharType="end"/>
    </w:r>
    <w:r>
      <w:rPr>
        <w:rFonts w:ascii="微软雅黑" w:hAnsi="微软雅黑" w:eastAsia="微软雅黑"/>
      </w:rPr>
      <w:ptab w:relativeTo="margin" w:alignment="center" w:leader="none"/>
    </w:r>
    <w:r>
      <w:rPr>
        <w:rFonts w:ascii="微软雅黑" w:hAnsi="微软雅黑" w:eastAsia="微软雅黑"/>
      </w:rPr>
      <w:fldChar w:fldCharType="begin"/>
    </w:r>
    <w:r>
      <w:rPr>
        <w:rFonts w:ascii="微软雅黑" w:hAnsi="微软雅黑" w:eastAsia="微软雅黑"/>
      </w:rPr>
      <w:instrText xml:space="preserve"> PAGE  \* Arabic  \* MERGEFORMAT </w:instrText>
    </w:r>
    <w:r>
      <w:rPr>
        <w:rFonts w:ascii="微软雅黑" w:hAnsi="微软雅黑" w:eastAsia="微软雅黑"/>
      </w:rPr>
      <w:fldChar w:fldCharType="separate"/>
    </w:r>
    <w:r>
      <w:rPr>
        <w:rFonts w:ascii="微软雅黑" w:hAnsi="微软雅黑" w:eastAsia="微软雅黑"/>
      </w:rPr>
      <w:t>9</w:t>
    </w:r>
    <w:r>
      <w:rPr>
        <w:rFonts w:ascii="微软雅黑" w:hAnsi="微软雅黑" w:eastAsia="微软雅黑"/>
      </w:rPr>
      <w:fldChar w:fldCharType="end"/>
    </w:r>
    <w:r>
      <w:rPr>
        <w:rFonts w:ascii="微软雅黑" w:hAnsi="微软雅黑" w:eastAsia="微软雅黑"/>
        <w:b/>
      </w:rPr>
      <w:t>/</w:t>
    </w:r>
    <w:r>
      <w:rPr>
        <w:rFonts w:ascii="微软雅黑" w:hAnsi="微软雅黑" w:eastAsia="微软雅黑"/>
      </w:rPr>
      <w:fldChar w:fldCharType="begin"/>
    </w:r>
    <w:r>
      <w:rPr>
        <w:rFonts w:ascii="微软雅黑" w:hAnsi="微软雅黑" w:eastAsia="微软雅黑"/>
      </w:rPr>
      <w:instrText xml:space="preserve"> NUMPAGES  \* Arabic  \* MERGEFORMAT </w:instrText>
    </w:r>
    <w:r>
      <w:rPr>
        <w:rFonts w:ascii="微软雅黑" w:hAnsi="微软雅黑" w:eastAsia="微软雅黑"/>
      </w:rPr>
      <w:fldChar w:fldCharType="separate"/>
    </w:r>
    <w:r>
      <w:rPr>
        <w:rFonts w:ascii="微软雅黑" w:hAnsi="微软雅黑" w:eastAsia="微软雅黑"/>
      </w:rPr>
      <w:t>9</w:t>
    </w:r>
    <w:r>
      <w:rPr>
        <w:rFonts w:ascii="微软雅黑" w:hAnsi="微软雅黑" w:eastAsia="微软雅黑"/>
      </w:rPr>
      <w:fldChar w:fldCharType="end"/>
    </w:r>
    <w:r>
      <w:rPr>
        <w:rFonts w:ascii="微软雅黑" w:hAnsi="微软雅黑" w:eastAsia="微软雅黑"/>
      </w:rPr>
      <w:ptab w:relativeTo="margin" w:alignment="right" w:leader="none"/>
    </w:r>
    <w:r>
      <w:rPr>
        <w:rFonts w:ascii="微软雅黑" w:hAnsi="微软雅黑" w:eastAsia="微软雅黑"/>
      </w:rPr>
      <w:t>D</w:t>
    </w:r>
    <w:r>
      <w:rPr>
        <w:rFonts w:hint="eastAsia" w:ascii="微软雅黑" w:hAnsi="微软雅黑" w:eastAsia="微软雅黑"/>
      </w:rPr>
      <w:t>ali</w:t>
    </w:r>
    <w:r>
      <w:rPr>
        <w:rFonts w:ascii="微软雅黑" w:hAnsi="微软雅黑" w:eastAsia="微软雅黑"/>
      </w:rPr>
      <w:t>2020</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ascii="微软雅黑" w:hAnsi="微软雅黑" w:eastAsia="微软雅黑"/>
        <w:sz w:val="21"/>
      </w:rPr>
      <w:t>建筑采光分析</w:t>
    </w:r>
    <w:r>
      <w:rPr>
        <w:rFonts w:ascii="微软雅黑" w:hAnsi="微软雅黑" w:eastAsia="微软雅黑"/>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A17225D"/>
    <w:multiLevelType w:val="multilevel"/>
    <w:tmpl w:val="7A1722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8332F7"/>
    <w:rsid w:val="0000161E"/>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616C"/>
    <w:rsid w:val="000C2EF9"/>
    <w:rsid w:val="000C3722"/>
    <w:rsid w:val="000D1936"/>
    <w:rsid w:val="000E2204"/>
    <w:rsid w:val="000E3005"/>
    <w:rsid w:val="000F1573"/>
    <w:rsid w:val="000F6298"/>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4EE7"/>
    <w:rsid w:val="002D7842"/>
    <w:rsid w:val="002E7C19"/>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7D7D"/>
    <w:rsid w:val="003E2204"/>
    <w:rsid w:val="003E33ED"/>
    <w:rsid w:val="003E4878"/>
    <w:rsid w:val="003F66A9"/>
    <w:rsid w:val="00401807"/>
    <w:rsid w:val="0040698B"/>
    <w:rsid w:val="00413082"/>
    <w:rsid w:val="004140D8"/>
    <w:rsid w:val="004142EF"/>
    <w:rsid w:val="00414C53"/>
    <w:rsid w:val="0042654D"/>
    <w:rsid w:val="00426C2B"/>
    <w:rsid w:val="004315D3"/>
    <w:rsid w:val="00431AD1"/>
    <w:rsid w:val="004416CE"/>
    <w:rsid w:val="004511B0"/>
    <w:rsid w:val="00452417"/>
    <w:rsid w:val="00454D77"/>
    <w:rsid w:val="00455D17"/>
    <w:rsid w:val="004606F9"/>
    <w:rsid w:val="00461600"/>
    <w:rsid w:val="00462EFD"/>
    <w:rsid w:val="0047512A"/>
    <w:rsid w:val="004839C8"/>
    <w:rsid w:val="00493F69"/>
    <w:rsid w:val="00495AAA"/>
    <w:rsid w:val="004A39AE"/>
    <w:rsid w:val="004A5381"/>
    <w:rsid w:val="004A5BC2"/>
    <w:rsid w:val="004B63AF"/>
    <w:rsid w:val="004B63BA"/>
    <w:rsid w:val="004B7117"/>
    <w:rsid w:val="004B721C"/>
    <w:rsid w:val="004C18E3"/>
    <w:rsid w:val="004D0938"/>
    <w:rsid w:val="004D230F"/>
    <w:rsid w:val="004D449D"/>
    <w:rsid w:val="004E1A3A"/>
    <w:rsid w:val="004F181A"/>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73CF6"/>
    <w:rsid w:val="005755BA"/>
    <w:rsid w:val="00584D6B"/>
    <w:rsid w:val="005A0064"/>
    <w:rsid w:val="005A7B3E"/>
    <w:rsid w:val="005B290E"/>
    <w:rsid w:val="005B5A6C"/>
    <w:rsid w:val="005D14F5"/>
    <w:rsid w:val="005D1EDD"/>
    <w:rsid w:val="005E6722"/>
    <w:rsid w:val="005E68D9"/>
    <w:rsid w:val="005F5BA5"/>
    <w:rsid w:val="005F76EF"/>
    <w:rsid w:val="00607042"/>
    <w:rsid w:val="0061137B"/>
    <w:rsid w:val="00616D08"/>
    <w:rsid w:val="0062034E"/>
    <w:rsid w:val="006240DC"/>
    <w:rsid w:val="0063216A"/>
    <w:rsid w:val="00635622"/>
    <w:rsid w:val="00637496"/>
    <w:rsid w:val="00642769"/>
    <w:rsid w:val="00642B94"/>
    <w:rsid w:val="006544F4"/>
    <w:rsid w:val="00654656"/>
    <w:rsid w:val="00657C3E"/>
    <w:rsid w:val="0066057C"/>
    <w:rsid w:val="00665923"/>
    <w:rsid w:val="00671958"/>
    <w:rsid w:val="00680AB5"/>
    <w:rsid w:val="00682852"/>
    <w:rsid w:val="006843B0"/>
    <w:rsid w:val="00694FCA"/>
    <w:rsid w:val="006A10D8"/>
    <w:rsid w:val="006A1E88"/>
    <w:rsid w:val="006A4CE8"/>
    <w:rsid w:val="006B01BC"/>
    <w:rsid w:val="006B18AC"/>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6EB7"/>
    <w:rsid w:val="0075416C"/>
    <w:rsid w:val="00756783"/>
    <w:rsid w:val="00760593"/>
    <w:rsid w:val="007654B0"/>
    <w:rsid w:val="007665F4"/>
    <w:rsid w:val="0077537E"/>
    <w:rsid w:val="00776121"/>
    <w:rsid w:val="00784B44"/>
    <w:rsid w:val="007859D0"/>
    <w:rsid w:val="007A22D1"/>
    <w:rsid w:val="007A272D"/>
    <w:rsid w:val="007A2817"/>
    <w:rsid w:val="007B1E12"/>
    <w:rsid w:val="007C100C"/>
    <w:rsid w:val="007C324F"/>
    <w:rsid w:val="007C3470"/>
    <w:rsid w:val="007C4E38"/>
    <w:rsid w:val="007D19BF"/>
    <w:rsid w:val="007D2688"/>
    <w:rsid w:val="007E37DA"/>
    <w:rsid w:val="007E75C8"/>
    <w:rsid w:val="007E7920"/>
    <w:rsid w:val="00801632"/>
    <w:rsid w:val="00802B5F"/>
    <w:rsid w:val="00806523"/>
    <w:rsid w:val="00810B33"/>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5B1F"/>
    <w:rsid w:val="00916DFB"/>
    <w:rsid w:val="00921740"/>
    <w:rsid w:val="00933379"/>
    <w:rsid w:val="00935684"/>
    <w:rsid w:val="009360C1"/>
    <w:rsid w:val="009363FF"/>
    <w:rsid w:val="00965C46"/>
    <w:rsid w:val="00972CA9"/>
    <w:rsid w:val="00975F79"/>
    <w:rsid w:val="009A15B5"/>
    <w:rsid w:val="009A5318"/>
    <w:rsid w:val="009A6B0F"/>
    <w:rsid w:val="009A7793"/>
    <w:rsid w:val="009B0205"/>
    <w:rsid w:val="009B23C7"/>
    <w:rsid w:val="009B6CD0"/>
    <w:rsid w:val="009C4AE6"/>
    <w:rsid w:val="009C58B7"/>
    <w:rsid w:val="009D02E3"/>
    <w:rsid w:val="009E21EA"/>
    <w:rsid w:val="009E6B81"/>
    <w:rsid w:val="009F5016"/>
    <w:rsid w:val="00A01886"/>
    <w:rsid w:val="00A1761F"/>
    <w:rsid w:val="00A32590"/>
    <w:rsid w:val="00A355BD"/>
    <w:rsid w:val="00A4594D"/>
    <w:rsid w:val="00A47443"/>
    <w:rsid w:val="00A5698B"/>
    <w:rsid w:val="00A67FCB"/>
    <w:rsid w:val="00A7134B"/>
    <w:rsid w:val="00A905FE"/>
    <w:rsid w:val="00A90BB1"/>
    <w:rsid w:val="00A95E06"/>
    <w:rsid w:val="00A96DD2"/>
    <w:rsid w:val="00A972F1"/>
    <w:rsid w:val="00AA47FE"/>
    <w:rsid w:val="00AC2594"/>
    <w:rsid w:val="00AC4726"/>
    <w:rsid w:val="00AD0888"/>
    <w:rsid w:val="00AD149F"/>
    <w:rsid w:val="00AD2D17"/>
    <w:rsid w:val="00AD5C97"/>
    <w:rsid w:val="00AE19C8"/>
    <w:rsid w:val="00AF050E"/>
    <w:rsid w:val="00AF5445"/>
    <w:rsid w:val="00B04B9D"/>
    <w:rsid w:val="00B30374"/>
    <w:rsid w:val="00B305EB"/>
    <w:rsid w:val="00B364B6"/>
    <w:rsid w:val="00B41640"/>
    <w:rsid w:val="00B43D6A"/>
    <w:rsid w:val="00B55B22"/>
    <w:rsid w:val="00B60841"/>
    <w:rsid w:val="00B634AB"/>
    <w:rsid w:val="00B746B8"/>
    <w:rsid w:val="00B77743"/>
    <w:rsid w:val="00B919EF"/>
    <w:rsid w:val="00BB3B23"/>
    <w:rsid w:val="00BD2877"/>
    <w:rsid w:val="00BE09AC"/>
    <w:rsid w:val="00C07EC2"/>
    <w:rsid w:val="00C257AB"/>
    <w:rsid w:val="00C31583"/>
    <w:rsid w:val="00C3168B"/>
    <w:rsid w:val="00C37F41"/>
    <w:rsid w:val="00C44808"/>
    <w:rsid w:val="00C57C49"/>
    <w:rsid w:val="00C607E2"/>
    <w:rsid w:val="00C63237"/>
    <w:rsid w:val="00C67778"/>
    <w:rsid w:val="00C72CFF"/>
    <w:rsid w:val="00C8032E"/>
    <w:rsid w:val="00C85350"/>
    <w:rsid w:val="00C9434C"/>
    <w:rsid w:val="00C97E25"/>
    <w:rsid w:val="00CA6D5E"/>
    <w:rsid w:val="00CA7AE3"/>
    <w:rsid w:val="00CB6248"/>
    <w:rsid w:val="00CC0F0F"/>
    <w:rsid w:val="00CC196B"/>
    <w:rsid w:val="00CC5A8F"/>
    <w:rsid w:val="00CD0DC1"/>
    <w:rsid w:val="00CD4869"/>
    <w:rsid w:val="00CE28AA"/>
    <w:rsid w:val="00CE55FA"/>
    <w:rsid w:val="00CF022B"/>
    <w:rsid w:val="00CF6917"/>
    <w:rsid w:val="00D00941"/>
    <w:rsid w:val="00D062D7"/>
    <w:rsid w:val="00D1581A"/>
    <w:rsid w:val="00D17CF8"/>
    <w:rsid w:val="00D20821"/>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14A90"/>
    <w:rsid w:val="00E25349"/>
    <w:rsid w:val="00E25E8C"/>
    <w:rsid w:val="00E429C8"/>
    <w:rsid w:val="00E42F38"/>
    <w:rsid w:val="00E62202"/>
    <w:rsid w:val="00E70768"/>
    <w:rsid w:val="00E71049"/>
    <w:rsid w:val="00E74F22"/>
    <w:rsid w:val="00E81ACD"/>
    <w:rsid w:val="00E950A3"/>
    <w:rsid w:val="00EA5131"/>
    <w:rsid w:val="00EB3742"/>
    <w:rsid w:val="00EB450B"/>
    <w:rsid w:val="00EB65C7"/>
    <w:rsid w:val="00ED3F17"/>
    <w:rsid w:val="00EE0F57"/>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F14DB"/>
    <w:rsid w:val="00FF2243"/>
    <w:rsid w:val="00FF4761"/>
    <w:rsid w:val="00FF5617"/>
    <w:rsid w:val="00FF752E"/>
    <w:rsid w:val="7C83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jc w:val="center"/>
    </w:pPr>
    <w:rPr>
      <w:rFonts w:ascii="微软雅黑" w:hAnsi="微软雅黑" w:eastAsia="微软雅黑" w:cs="Times New Roman"/>
      <w:sz w:val="18"/>
      <w:lang w:val="en-GB" w:eastAsia="zh-CN" w:bidi="ar-SA"/>
    </w:rPr>
  </w:style>
  <w:style w:type="paragraph" w:styleId="2">
    <w:name w:val="heading 1"/>
    <w:next w:val="3"/>
    <w:link w:val="27"/>
    <w:qFormat/>
    <w:uiPriority w:val="0"/>
    <w:pPr>
      <w:keepNext/>
      <w:numPr>
        <w:ilvl w:val="0"/>
        <w:numId w:val="1"/>
      </w:numPr>
      <w:kinsoku w:val="0"/>
      <w:spacing w:before="240" w:after="60"/>
      <w:ind w:left="432" w:hanging="432"/>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tabs>
        <w:tab w:val="left" w:pos="567"/>
        <w:tab w:val="clear" w:pos="578"/>
      </w:tabs>
      <w:kinsoku w:val="0"/>
      <w:spacing w:before="240" w:after="240"/>
      <w:ind w:left="567"/>
      <w:jc w:val="both"/>
      <w:outlineLvl w:val="1"/>
    </w:pPr>
    <w:rPr>
      <w:rFonts w:ascii="微软雅黑"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1"/>
      <w:szCs w:val="28"/>
    </w:rPr>
  </w:style>
  <w:style w:type="paragraph" w:styleId="7">
    <w:name w:val="heading 5"/>
    <w:basedOn w:val="1"/>
    <w:next w:val="1"/>
    <w:qFormat/>
    <w:uiPriority w:val="0"/>
    <w:pPr>
      <w:numPr>
        <w:ilvl w:val="4"/>
        <w:numId w:val="1"/>
      </w:numPr>
      <w:spacing w:before="240" w:after="60"/>
      <w:outlineLvl w:val="4"/>
    </w:pPr>
    <w:rPr>
      <w:rFonts w:ascii="Times New Roman" w:hAnsi="Times New Roman" w:eastAsia="宋体"/>
      <w:b/>
      <w:bCs/>
      <w:iCs/>
      <w:sz w:val="21"/>
      <w:szCs w:val="26"/>
    </w:rPr>
  </w:style>
  <w:style w:type="paragraph" w:styleId="8">
    <w:name w:val="heading 6"/>
    <w:basedOn w:val="1"/>
    <w:next w:val="1"/>
    <w:qFormat/>
    <w:uiPriority w:val="0"/>
    <w:pPr>
      <w:numPr>
        <w:ilvl w:val="5"/>
        <w:numId w:val="1"/>
      </w:numPr>
      <w:spacing w:before="240" w:after="60"/>
      <w:outlineLvl w:val="5"/>
    </w:pPr>
    <w:rPr>
      <w:rFonts w:ascii="Times New Roman" w:hAnsi="Times New Roman" w:eastAsia="宋体"/>
      <w:b/>
      <w:bCs/>
      <w:sz w:val="21"/>
      <w:szCs w:val="22"/>
    </w:rPr>
  </w:style>
  <w:style w:type="paragraph" w:styleId="9">
    <w:name w:val="heading 7"/>
    <w:basedOn w:val="1"/>
    <w:next w:val="1"/>
    <w:qFormat/>
    <w:uiPriority w:val="0"/>
    <w:pPr>
      <w:numPr>
        <w:ilvl w:val="6"/>
        <w:numId w:val="1"/>
      </w:numPr>
      <w:spacing w:before="240" w:after="60"/>
      <w:outlineLvl w:val="6"/>
    </w:pPr>
    <w:rPr>
      <w:rFonts w:ascii="Times New Roman" w:hAnsi="Times New Roman" w:eastAsia="宋体"/>
      <w:sz w:val="24"/>
      <w:szCs w:val="24"/>
    </w:rPr>
  </w:style>
  <w:style w:type="paragraph" w:styleId="10">
    <w:name w:val="heading 8"/>
    <w:basedOn w:val="1"/>
    <w:next w:val="1"/>
    <w:qFormat/>
    <w:uiPriority w:val="0"/>
    <w:pPr>
      <w:numPr>
        <w:ilvl w:val="7"/>
        <w:numId w:val="1"/>
      </w:numPr>
      <w:spacing w:before="240" w:after="60"/>
      <w:outlineLvl w:val="7"/>
    </w:pPr>
    <w:rPr>
      <w:rFonts w:ascii="Times New Roman" w:hAnsi="Times New Roman" w:eastAsia="宋体"/>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eastAsia="宋体"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rPr>
      <w:rFonts w:ascii="Times New Roman" w:hAnsi="Times New Roman" w:eastAsia="宋体"/>
    </w:rPr>
  </w:style>
  <w:style w:type="paragraph" w:styleId="13">
    <w:name w:val="Body Text Indent"/>
    <w:basedOn w:val="1"/>
    <w:link w:val="24"/>
    <w:uiPriority w:val="0"/>
    <w:pPr>
      <w:widowControl w:val="0"/>
      <w:spacing w:line="400" w:lineRule="exact"/>
      <w:ind w:firstLine="480" w:firstLineChars="200"/>
      <w:jc w:val="both"/>
    </w:pPr>
    <w:rPr>
      <w:rFonts w:ascii="宋体" w:hAnsi="宋体" w:eastAsia="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rFonts w:ascii="Times New Roman" w:hAnsi="Times New Roman"/>
      <w:kern w:val="2"/>
      <w:sz w:val="21"/>
      <w:szCs w:val="24"/>
      <w:lang w:val="en-US"/>
    </w:rPr>
  </w:style>
  <w:style w:type="paragraph" w:styleId="15">
    <w:name w:val="footer"/>
    <w:basedOn w:val="1"/>
    <w:uiPriority w:val="0"/>
    <w:pPr>
      <w:tabs>
        <w:tab w:val="center" w:pos="4153"/>
        <w:tab w:val="right" w:pos="8306"/>
      </w:tabs>
      <w:snapToGrid w:val="0"/>
    </w:pPr>
    <w:rPr>
      <w:rFonts w:ascii="Times New Roman" w:hAnsi="Times New Roman" w:eastAsia="宋体"/>
      <w:szCs w:val="18"/>
    </w:rPr>
  </w:style>
  <w:style w:type="paragraph" w:styleId="16">
    <w:name w:val="header"/>
    <w:basedOn w:val="1"/>
    <w:uiPriority w:val="0"/>
    <w:pPr>
      <w:pBdr>
        <w:bottom w:val="single" w:color="auto" w:sz="6" w:space="1"/>
      </w:pBdr>
      <w:tabs>
        <w:tab w:val="center" w:pos="4153"/>
        <w:tab w:val="right" w:pos="8306"/>
      </w:tabs>
      <w:snapToGrid w:val="0"/>
    </w:pPr>
    <w:rPr>
      <w:rFonts w:ascii="Times New Roman" w:hAnsi="Times New Roman" w:eastAsia="宋体"/>
      <w:szCs w:val="18"/>
    </w:rPr>
  </w:style>
  <w:style w:type="paragraph" w:styleId="17">
    <w:name w:val="toc 1"/>
    <w:basedOn w:val="1"/>
    <w:next w:val="1"/>
    <w:qFormat/>
    <w:uiPriority w:val="39"/>
    <w:pPr>
      <w:tabs>
        <w:tab w:val="left" w:leader="dot" w:pos="180"/>
        <w:tab w:val="left" w:pos="420"/>
        <w:tab w:val="right" w:leader="dot" w:pos="9360"/>
      </w:tabs>
    </w:pPr>
    <w:rPr>
      <w:rFonts w:ascii="Times New Roman" w:hAnsi="Times New Roman"/>
      <w:b/>
      <w:bCs/>
      <w:kern w:val="2"/>
      <w:sz w:val="21"/>
      <w:szCs w:val="24"/>
      <w:lang w:val="en-US"/>
    </w:rPr>
  </w:style>
  <w:style w:type="paragraph" w:styleId="18">
    <w:name w:val="toc 4"/>
    <w:basedOn w:val="1"/>
    <w:next w:val="1"/>
    <w:uiPriority w:val="0"/>
    <w:pPr>
      <w:ind w:left="1260" w:leftChars="600"/>
    </w:pPr>
  </w:style>
  <w:style w:type="paragraph" w:styleId="19">
    <w:name w:val="toc 2"/>
    <w:basedOn w:val="1"/>
    <w:next w:val="1"/>
    <w:uiPriority w:val="39"/>
    <w:pPr>
      <w:tabs>
        <w:tab w:val="left" w:pos="540"/>
        <w:tab w:val="left" w:pos="840"/>
        <w:tab w:val="right" w:leader="dot" w:pos="9360"/>
      </w:tabs>
      <w:ind w:left="200"/>
    </w:pPr>
    <w:rPr>
      <w:rFonts w:ascii="Times New Roman" w:hAnsi="Times New Roman"/>
      <w:kern w:val="2"/>
      <w:sz w:val="21"/>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iPriority w:val="99"/>
    <w:rPr>
      <w:color w:val="0000FF"/>
      <w:u w:val="single"/>
    </w:rPr>
  </w:style>
  <w:style w:type="character" w:customStyle="1" w:styleId="24">
    <w:name w:val="正文文本缩进 Char"/>
    <w:link w:val="13"/>
    <w:uiPriority w:val="0"/>
    <w:rPr>
      <w:rFonts w:ascii="宋体" w:hAnsi="宋体" w:eastAsia="宋体"/>
      <w:kern w:val="2"/>
      <w:sz w:val="24"/>
      <w:szCs w:val="24"/>
      <w:lang w:val="en-US" w:eastAsia="zh-CN" w:bidi="ar-SA"/>
    </w:rPr>
  </w:style>
  <w:style w:type="paragraph" w:customStyle="1" w:styleId="25">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6">
    <w:name w:val="Char Char2"/>
    <w:locked/>
    <w:uiPriority w:val="0"/>
    <w:rPr>
      <w:rFonts w:ascii="宋体" w:hAnsi="宋体" w:eastAsia="宋体"/>
      <w:kern w:val="2"/>
      <w:sz w:val="24"/>
      <w:szCs w:val="24"/>
      <w:lang w:val="en-US" w:eastAsia="zh-CN" w:bidi="ar-SA"/>
    </w:rPr>
  </w:style>
  <w:style w:type="character" w:customStyle="1" w:styleId="27">
    <w:name w:val="标题 1 Char"/>
    <w:basedOn w:val="22"/>
    <w:link w:val="2"/>
    <w:uiPriority w:val="0"/>
    <w:rPr>
      <w:rFonts w:eastAsia="微软雅黑"/>
      <w:b/>
      <w:bCs/>
      <w:kern w:val="32"/>
      <w:sz w:val="28"/>
      <w:szCs w:val="28"/>
    </w:rPr>
  </w:style>
  <w:style w:type="paragraph" w:styleId="28">
    <w:name w:val="List Paragraph"/>
    <w:basedOn w:val="1"/>
    <w:qFormat/>
    <w:uiPriority w:val="34"/>
    <w:pPr>
      <w:ind w:firstLine="420" w:firstLineChars="200"/>
    </w:pPr>
    <w:rPr>
      <w:rFonts w:ascii="Times New Roman" w:hAnsi="Times New Roman" w:eastAsia="宋体"/>
    </w:rPr>
  </w:style>
  <w:style w:type="paragraph" w:customStyle="1" w:styleId="29">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0634\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AE17A-4608-4D0C-9061-2AAFF8CE5FAE}">
  <ds:schemaRefs/>
</ds:datastoreItem>
</file>

<file path=docProps/app.xml><?xml version="1.0" encoding="utf-8"?>
<Properties xmlns="http://schemas.openxmlformats.org/officeDocument/2006/extended-properties" xmlns:vt="http://schemas.openxmlformats.org/officeDocument/2006/docPropsVTypes">
  <Template>tmp9.dotx</Template>
  <Pages>27</Pages>
  <Words>10903</Words>
  <Characters>19393</Characters>
  <Lines>36</Lines>
  <Paragraphs>10</Paragraphs>
  <TotalTime>0</TotalTime>
  <ScaleCrop>false</ScaleCrop>
  <LinksUpToDate>false</LinksUpToDate>
  <CharactersWithSpaces>19519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2021-01-06T04:47:00Z</dcterms:created>
  <dc:creator>无心。</dc:creator>
  <cp:lastModifiedBy>无心。</cp:lastModifiedBy>
  <dcterms:modified xsi:type="dcterms:W3CDTF">2021-01-06T04:48:00Z</dcterms:modified>
  <dc:title>建筑采光分析报告书</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