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5.2.8 </w:t>
      </w:r>
      <w:r>
        <w:rPr>
          <w:rFonts w:hint="eastAsia"/>
        </w:rPr>
        <w:t>充分利用天然光。（</w:t>
      </w:r>
      <w:r>
        <w:rPr>
          <w:rFonts w:ascii="Times New Roman" w:hAnsi="Times New Roman" w:cs="Times New Roman"/>
        </w:rPr>
        <w:t>12</w:t>
      </w:r>
      <w:r>
        <w:rPr>
          <w:rFonts w:hint="eastAsia"/>
        </w:rPr>
        <w:t>分）</w:t>
      </w:r>
    </w:p>
    <w:p>
      <w:pPr>
        <w:pStyle w:val="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Style w:val="5"/>
        <w:tblW w:w="780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954"/>
        <w:gridCol w:w="3592"/>
        <w:gridCol w:w="1484"/>
        <w:gridCol w:w="12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5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5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住宅建筑：主要功能空间至少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60%</w:t>
            </w:r>
            <w:r>
              <w:rPr>
                <w:rFonts w:hint="eastAsia"/>
                <w:sz w:val="21"/>
                <w:szCs w:val="21"/>
              </w:rPr>
              <w:t>面积比例区域采光照度值不低于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300lx</w:t>
            </w:r>
            <w:r>
              <w:rPr>
                <w:rFonts w:hint="eastAsia"/>
                <w:sz w:val="21"/>
                <w:szCs w:val="21"/>
              </w:rPr>
              <w:t>的小时数平均不少于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8h/d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105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105" w:lineRule="atLeast"/>
            </w:pPr>
            <w:r>
              <w:rPr>
                <w:rFonts w:hint="eastAsia"/>
                <w:sz w:val="21"/>
                <w:szCs w:val="21"/>
              </w:rPr>
              <w:t>公共建筑</w:t>
            </w:r>
          </w:p>
        </w:tc>
        <w:tc>
          <w:tcPr>
            <w:tcW w:w="3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105" w:lineRule="atLeast"/>
            </w:pPr>
            <w:r>
              <w:rPr>
                <w:rFonts w:hint="eastAsia"/>
                <w:sz w:val="21"/>
                <w:szCs w:val="21"/>
              </w:rPr>
              <w:t>内区采光系数满足采光要求的面积比例达到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60%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105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105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9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3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105" w:lineRule="atLeast"/>
            </w:pPr>
            <w:r>
              <w:rPr>
                <w:rFonts w:hint="eastAsia"/>
                <w:sz w:val="21"/>
                <w:szCs w:val="21"/>
              </w:rPr>
              <w:t>地下空间平均采光系数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≥0.5%</w:t>
            </w:r>
            <w:r>
              <w:rPr>
                <w:rFonts w:hint="eastAsia"/>
                <w:sz w:val="21"/>
                <w:szCs w:val="21"/>
              </w:rPr>
              <w:t>的面积与首层地下室面积的比例达到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10%</w:t>
            </w:r>
            <w:r>
              <w:rPr>
                <w:rFonts w:hint="eastAsia"/>
                <w:sz w:val="21"/>
                <w:szCs w:val="21"/>
              </w:rPr>
              <w:t>以上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105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9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3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105" w:lineRule="atLeast"/>
            </w:pPr>
            <w:r>
              <w:rPr>
                <w:rFonts w:hint="eastAsia"/>
                <w:sz w:val="21"/>
                <w:szCs w:val="21"/>
              </w:rPr>
              <w:t>主要功能空间至少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60%</w:t>
            </w:r>
            <w:r>
              <w:rPr>
                <w:rFonts w:hint="eastAsia"/>
                <w:sz w:val="21"/>
                <w:szCs w:val="21"/>
              </w:rPr>
              <w:t>面积比例区域采光照度值不低于采光要求的小时数平均不少于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4h/d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105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主要功能房间有眩光控制措施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21</w:t>
            </w:r>
          </w:p>
        </w:tc>
      </w:tr>
    </w:tbl>
    <w:p>
      <w:pPr>
        <w:pStyle w:val="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>
      <w:pPr>
        <w:pStyle w:val="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概述改善室内防眩光采用的措施。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8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本项目主要功能房间采用下列措施控制不舒适眩光：</w:t>
            </w:r>
          </w:p>
          <w:p>
            <w:pPr>
              <w:pStyle w:val="3"/>
              <w:spacing w:before="0" w:beforeAutospacing="0" w:after="0" w:afterAutospacing="0"/>
              <w:ind w:firstLine="40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、作业区域避免直射阳光。</w:t>
            </w:r>
          </w:p>
          <w:p>
            <w:pPr>
              <w:pStyle w:val="3"/>
              <w:spacing w:before="0" w:beforeAutospacing="0" w:after="0" w:afterAutospacing="0"/>
              <w:ind w:firstLine="40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、室内人员的视觉背景不为窗口。</w:t>
            </w:r>
          </w:p>
          <w:p>
            <w:pPr>
              <w:pStyle w:val="3"/>
              <w:spacing w:before="0" w:beforeAutospacing="0" w:after="0" w:afterAutospacing="0"/>
              <w:ind w:firstLine="40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、采用室内遮挡措施。</w:t>
            </w:r>
          </w:p>
          <w:p>
            <w:pPr>
              <w:pStyle w:val="3"/>
              <w:spacing w:before="0" w:beforeAutospacing="0" w:after="0" w:afterAutospacing="0"/>
              <w:ind w:firstLine="40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、窗结构的内表面或窗周围的内墙面采用浅色饰面。</w:t>
            </w:r>
          </w:p>
        </w:tc>
      </w:tr>
    </w:tbl>
    <w:p>
      <w:pPr>
        <w:pStyle w:val="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采光达标统计</w:t>
      </w:r>
    </w:p>
    <w:tbl>
      <w:tblPr>
        <w:tblStyle w:val="5"/>
        <w:tblW w:w="946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214"/>
        <w:gridCol w:w="2382"/>
        <w:gridCol w:w="1908"/>
        <w:gridCol w:w="2055"/>
        <w:gridCol w:w="13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5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内区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分析区域</w:t>
            </w:r>
          </w:p>
        </w:tc>
        <w:tc>
          <w:tcPr>
            <w:tcW w:w="2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主要功能空间面积</w:t>
            </w:r>
          </w:p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内区面积</w:t>
            </w:r>
          </w:p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采光达标面积</w:t>
            </w:r>
          </w:p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达标比例</w:t>
            </w:r>
          </w:p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普通教室</w:t>
            </w:r>
          </w:p>
        </w:tc>
        <w:tc>
          <w:tcPr>
            <w:tcW w:w="2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5689.51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5689.51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5419.95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2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住宅主要功能空间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分析区域</w:t>
            </w:r>
          </w:p>
        </w:tc>
        <w:tc>
          <w:tcPr>
            <w:tcW w:w="4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采光照度值不低于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300lx</w:t>
            </w:r>
            <w:r>
              <w:rPr>
                <w:rFonts w:hint="eastAsia"/>
                <w:sz w:val="21"/>
                <w:szCs w:val="21"/>
              </w:rPr>
              <w:t>的小时数平均不少于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8h/d</w:t>
            </w:r>
            <w:r>
              <w:rPr>
                <w:rFonts w:hint="eastAsia"/>
                <w:sz w:val="21"/>
                <w:szCs w:val="21"/>
              </w:rPr>
              <w:t>面积（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主要功能空间面积（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达标比例</w:t>
            </w:r>
          </w:p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</w:p>
        </w:tc>
        <w:tc>
          <w:tcPr>
            <w:tcW w:w="4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4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公建主要功能空间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分析区域</w:t>
            </w:r>
          </w:p>
        </w:tc>
        <w:tc>
          <w:tcPr>
            <w:tcW w:w="4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采光照度值不低于采光要求的小时数平均不少于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4h/d</w:t>
            </w:r>
            <w:r>
              <w:rPr>
                <w:rFonts w:hint="eastAsia"/>
                <w:sz w:val="21"/>
                <w:szCs w:val="21"/>
              </w:rPr>
              <w:t>面积（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主要功能空间面积（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达标比例</w:t>
            </w:r>
          </w:p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70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所有房间</w:t>
            </w:r>
          </w:p>
        </w:tc>
        <w:tc>
          <w:tcPr>
            <w:tcW w:w="4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70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32002.93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70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32002.93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 w:line="70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/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>
      <w:pPr>
        <w:pStyle w:val="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>
      <w:pPr>
        <w:pStyle w:val="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>
      <w:pPr>
        <w:pStyle w:val="3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）建筑竣工图及说明文件，应体现室内防眩光设计措施；</w:t>
      </w:r>
    </w:p>
    <w:p>
      <w:pPr>
        <w:pStyle w:val="3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）动态采光计算书、采光系数及面积比例计算书；</w:t>
      </w:r>
    </w:p>
    <w:p>
      <w:pPr>
        <w:pStyle w:val="3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）公共建筑内区及地下空间采光系数计算书或检测报告。</w:t>
      </w:r>
    </w:p>
    <w:p>
      <w:pPr>
        <w:pStyle w:val="3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 </w:t>
      </w:r>
    </w:p>
    <w:p>
      <w:pPr>
        <w:pStyle w:val="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8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</w:pPr>
            <w:r>
              <w:rPr>
                <w:rStyle w:val="7"/>
                <w:rFonts w:ascii="Times New Roman" w:hAnsi="Times New Roman" w:cs="Times New Roman"/>
                <w:sz w:val="20"/>
                <w:szCs w:val="20"/>
              </w:rPr>
              <w:t>公共建筑内区及地下空间采光系数计算书或检测报告：3建筑设计/ 地下室及公共建筑内区采光分析报告书.rar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noPunctuationKerning w:val="1"/>
  <w:characterSpacingControl w:val="doNotCompress"/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link w:val="6"/>
    <w:unhideWhenUsed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customStyle="1" w:styleId="6">
    <w:name w:val="标题 4 Char"/>
    <w:basedOn w:val="4"/>
    <w:link w:val="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7">
    <w:name w:val="sciencebox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719</Characters>
  <Lines>5</Lines>
  <Paragraphs>1</Paragraphs>
  <ScaleCrop>false</ScaleCrop>
  <LinksUpToDate>false</LinksUpToDate>
  <CharactersWithSpaces>844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2021-03-10T21:14:00Z</dcterms:created>
  <dc:creator>lenovo</dc:creator>
  <cp:lastModifiedBy>iPhone</cp:lastModifiedBy>
  <dcterms:modified xsi:type="dcterms:W3CDTF">2021-03-10T22:16:44Z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