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住区热环境设计报告书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土楼</w:t>
            </w:r>
            <w:bookmarkStart w:id="57" w:name="_GoBack"/>
            <w:bookmarkEnd w:id="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0" w:name="地理位置"/>
            <w:r>
              <w:t>泉州</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bookmarkEnd w:id="4"/>
          </w:p>
        </w:tc>
      </w:tr>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热环境TERA2020</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20190808</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T18659817092</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"_Toc16494766" </w:instrText>
      </w:r>
      <w:r>
        <w:fldChar w:fldCharType="separate"/>
      </w:r>
      <w:r>
        <w:rPr>
          <w:rStyle w:val="24"/>
        </w:rPr>
        <w:t>1</w:t>
      </w:r>
      <w:r>
        <w:rPr>
          <w:rFonts w:asciiTheme="minorHAnsi" w:hAnsiTheme="minorHAnsi" w:eastAsiaTheme="minorEastAsia" w:cstheme="minorBidi"/>
          <w:b w:val="0"/>
          <w:bCs w:val="0"/>
          <w:szCs w:val="22"/>
        </w:rPr>
        <w:tab/>
      </w:r>
      <w:r>
        <w:rPr>
          <w:rStyle w:val="24"/>
          <w:rFonts w:hint="eastAsia"/>
        </w:rPr>
        <w:t>住区概况</w:t>
      </w:r>
      <w:r>
        <w:tab/>
      </w:r>
      <w:r>
        <w:fldChar w:fldCharType="begin"/>
      </w:r>
      <w:r>
        <w:instrText xml:space="preserve"> PAGEREF _Toc16494766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"_Toc16494767" </w:instrText>
      </w:r>
      <w:r>
        <w:fldChar w:fldCharType="separate"/>
      </w:r>
      <w:r>
        <w:rPr>
          <w:rStyle w:val="24"/>
        </w:rPr>
        <w:t>2</w:t>
      </w:r>
      <w:r>
        <w:rPr>
          <w:rFonts w:asciiTheme="minorHAnsi" w:hAnsiTheme="minorHAnsi" w:eastAsiaTheme="minorEastAsia" w:cstheme="minorBidi"/>
          <w:b w:val="0"/>
          <w:bCs w:val="0"/>
          <w:szCs w:val="22"/>
        </w:rPr>
        <w:tab/>
      </w:r>
      <w:r>
        <w:rPr>
          <w:rStyle w:val="24"/>
          <w:rFonts w:hint="eastAsia"/>
        </w:rPr>
        <w:t>设计依据</w:t>
      </w:r>
      <w:r>
        <w:tab/>
      </w:r>
      <w:r>
        <w:fldChar w:fldCharType="begin"/>
      </w:r>
      <w:r>
        <w:instrText xml:space="preserve"> PAGEREF _Toc16494767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"_Toc16494768" </w:instrText>
      </w:r>
      <w:r>
        <w:fldChar w:fldCharType="separate"/>
      </w:r>
      <w:r>
        <w:rPr>
          <w:rStyle w:val="24"/>
        </w:rPr>
        <w:t>3</w:t>
      </w:r>
      <w:r>
        <w:rPr>
          <w:rFonts w:asciiTheme="minorHAnsi" w:hAnsiTheme="minorHAnsi" w:eastAsiaTheme="minorEastAsia" w:cstheme="minorBidi"/>
          <w:b w:val="0"/>
          <w:bCs w:val="0"/>
          <w:szCs w:val="22"/>
        </w:rPr>
        <w:tab/>
      </w:r>
      <w:r>
        <w:rPr>
          <w:rStyle w:val="24"/>
          <w:rFonts w:hint="eastAsia"/>
        </w:rPr>
        <w:t>计算规定</w:t>
      </w:r>
      <w:r>
        <w:tab/>
      </w:r>
      <w:r>
        <w:fldChar w:fldCharType="begin"/>
      </w:r>
      <w:r>
        <w:instrText xml:space="preserve"> PAGEREF _Toc16494768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"_Toc16494769" </w:instrText>
      </w:r>
      <w:r>
        <w:fldChar w:fldCharType="separate"/>
      </w:r>
      <w:r>
        <w:rPr>
          <w:rStyle w:val="24"/>
          <w:lang w:val="en-GB"/>
        </w:rPr>
        <w:t>3.1</w:t>
      </w:r>
      <w:r>
        <w:rPr>
          <w:rFonts w:asciiTheme="minorHAnsi" w:hAnsiTheme="minorHAnsi" w:eastAsiaTheme="minorEastAsia" w:cstheme="minorBidi"/>
          <w:szCs w:val="22"/>
        </w:rPr>
        <w:tab/>
      </w:r>
      <w:r>
        <w:rPr>
          <w:rStyle w:val="24"/>
          <w:rFonts w:hint="eastAsia"/>
        </w:rPr>
        <w:t>强制条文</w:t>
      </w:r>
      <w:r>
        <w:tab/>
      </w:r>
      <w:r>
        <w:fldChar w:fldCharType="begin"/>
      </w:r>
      <w:r>
        <w:instrText xml:space="preserve"> PAGEREF _Toc16494769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"_Toc16494770" </w:instrText>
      </w:r>
      <w:r>
        <w:fldChar w:fldCharType="separate"/>
      </w:r>
      <w:r>
        <w:rPr>
          <w:rStyle w:val="24"/>
          <w:lang w:val="en-GB"/>
        </w:rPr>
        <w:t>3.2</w:t>
      </w:r>
      <w:r>
        <w:rPr>
          <w:rFonts w:asciiTheme="minorHAnsi" w:hAnsiTheme="minorHAnsi" w:eastAsiaTheme="minorEastAsia" w:cstheme="minorBidi"/>
          <w:szCs w:val="22"/>
        </w:rPr>
        <w:tab/>
      </w:r>
      <w:r>
        <w:rPr>
          <w:rStyle w:val="24"/>
          <w:rFonts w:hint="eastAsia"/>
        </w:rPr>
        <w:t>规定性设计</w:t>
      </w:r>
      <w:r>
        <w:tab/>
      </w:r>
      <w:r>
        <w:fldChar w:fldCharType="begin"/>
      </w:r>
      <w:r>
        <w:instrText xml:space="preserve"> PAGEREF _Toc16494770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"_Toc16494771" </w:instrText>
      </w:r>
      <w:r>
        <w:fldChar w:fldCharType="separate"/>
      </w:r>
      <w:r>
        <w:rPr>
          <w:rStyle w:val="24"/>
          <w:lang w:val="en-GB"/>
        </w:rPr>
        <w:t>3.3</w:t>
      </w:r>
      <w:r>
        <w:rPr>
          <w:rFonts w:asciiTheme="minorHAnsi" w:hAnsiTheme="minorHAnsi" w:eastAsiaTheme="minorEastAsia" w:cstheme="minorBidi"/>
          <w:szCs w:val="22"/>
        </w:rPr>
        <w:tab/>
      </w:r>
      <w:r>
        <w:rPr>
          <w:rStyle w:val="24"/>
          <w:rFonts w:hint="eastAsia"/>
        </w:rPr>
        <w:t>评价性设计</w:t>
      </w:r>
      <w:r>
        <w:tab/>
      </w:r>
      <w:r>
        <w:fldChar w:fldCharType="begin"/>
      </w:r>
      <w:r>
        <w:instrText xml:space="preserve"> PAGEREF _Toc16494771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"_Toc16494772" </w:instrText>
      </w:r>
      <w:r>
        <w:fldChar w:fldCharType="separate"/>
      </w:r>
      <w:r>
        <w:rPr>
          <w:rStyle w:val="24"/>
        </w:rPr>
        <w:t>4</w:t>
      </w:r>
      <w:r>
        <w:rPr>
          <w:rFonts w:asciiTheme="minorHAnsi" w:hAnsiTheme="minorHAnsi" w:eastAsiaTheme="minorEastAsia" w:cstheme="minorBidi"/>
          <w:b w:val="0"/>
          <w:bCs w:val="0"/>
          <w:szCs w:val="22"/>
        </w:rPr>
        <w:tab/>
      </w:r>
      <w:r>
        <w:rPr>
          <w:rStyle w:val="24"/>
          <w:rFonts w:hint="eastAsia"/>
        </w:rPr>
        <w:t>计算参数</w:t>
      </w:r>
      <w:r>
        <w:tab/>
      </w:r>
      <w:r>
        <w:fldChar w:fldCharType="begin"/>
      </w:r>
      <w:r>
        <w:instrText xml:space="preserve"> PAGEREF _Toc16494772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"_Toc16494773" </w:instrText>
      </w:r>
      <w:r>
        <w:fldChar w:fldCharType="separate"/>
      </w:r>
      <w:r>
        <w:rPr>
          <w:rStyle w:val="24"/>
          <w:lang w:val="en-GB"/>
        </w:rPr>
        <w:t>4.1</w:t>
      </w:r>
      <w:r>
        <w:rPr>
          <w:rFonts w:asciiTheme="minorHAnsi" w:hAnsiTheme="minorHAnsi" w:eastAsiaTheme="minorEastAsia" w:cstheme="minorBidi"/>
          <w:szCs w:val="22"/>
        </w:rPr>
        <w:tab/>
      </w:r>
      <w:r>
        <w:rPr>
          <w:rStyle w:val="24"/>
          <w:rFonts w:hint="eastAsia"/>
        </w:rPr>
        <w:t>典型气象日气象参数</w:t>
      </w:r>
      <w:r>
        <w:tab/>
      </w:r>
      <w:r>
        <w:fldChar w:fldCharType="begin"/>
      </w:r>
      <w:r>
        <w:instrText xml:space="preserve"> PAGEREF _Toc16494773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"_Toc16494774" </w:instrText>
      </w:r>
      <w:r>
        <w:fldChar w:fldCharType="separate"/>
      </w:r>
      <w:r>
        <w:rPr>
          <w:rStyle w:val="24"/>
          <w:lang w:val="en-GB"/>
        </w:rPr>
        <w:t>4.2</w:t>
      </w:r>
      <w:r>
        <w:rPr>
          <w:rFonts w:asciiTheme="minorHAnsi" w:hAnsiTheme="minorHAnsi" w:eastAsiaTheme="minorEastAsia" w:cstheme="minorBidi"/>
          <w:szCs w:val="22"/>
        </w:rPr>
        <w:tab/>
      </w:r>
      <w:r>
        <w:rPr>
          <w:rStyle w:val="24"/>
          <w:rFonts w:hint="eastAsia"/>
        </w:rPr>
        <w:t>渗透面夏季逐时蒸发量</w:t>
      </w:r>
      <w:r>
        <w:tab/>
      </w:r>
      <w:r>
        <w:fldChar w:fldCharType="begin"/>
      </w:r>
      <w:r>
        <w:instrText xml:space="preserve"> PAGEREF _Toc16494774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"_Toc16494775" </w:instrText>
      </w:r>
      <w:r>
        <w:fldChar w:fldCharType="separate"/>
      </w:r>
      <w:r>
        <w:rPr>
          <w:rStyle w:val="24"/>
        </w:rPr>
        <w:t>5</w:t>
      </w:r>
      <w:r>
        <w:rPr>
          <w:rFonts w:asciiTheme="minorHAnsi" w:hAnsiTheme="minorHAnsi" w:eastAsiaTheme="minorEastAsia" w:cstheme="minorBidi"/>
          <w:b w:val="0"/>
          <w:bCs w:val="0"/>
          <w:szCs w:val="22"/>
        </w:rPr>
        <w:tab/>
      </w:r>
      <w:r>
        <w:rPr>
          <w:rStyle w:val="24"/>
          <w:rFonts w:hint="eastAsia"/>
        </w:rPr>
        <w:t>住区指标概览</w:t>
      </w:r>
      <w:r>
        <w:tab/>
      </w:r>
      <w:r>
        <w:fldChar w:fldCharType="begin"/>
      </w:r>
      <w:r>
        <w:instrText xml:space="preserve"> PAGEREF _Toc16494775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"_Toc16494776" </w:instrText>
      </w:r>
      <w:r>
        <w:fldChar w:fldCharType="separate"/>
      </w:r>
      <w:r>
        <w:rPr>
          <w:rStyle w:val="24"/>
        </w:rPr>
        <w:t>6</w:t>
      </w:r>
      <w:r>
        <w:rPr>
          <w:rFonts w:asciiTheme="minorHAnsi" w:hAnsiTheme="minorHAnsi" w:eastAsiaTheme="minorEastAsia" w:cstheme="minorBidi"/>
          <w:b w:val="0"/>
          <w:bCs w:val="0"/>
          <w:szCs w:val="22"/>
        </w:rPr>
        <w:tab/>
      </w:r>
      <w:r>
        <w:rPr>
          <w:rStyle w:val="24"/>
          <w:rFonts w:hint="eastAsia"/>
        </w:rPr>
        <w:t>规定性设计指标</w:t>
      </w:r>
      <w:r>
        <w:tab/>
      </w:r>
      <w:r>
        <w:fldChar w:fldCharType="begin"/>
      </w:r>
      <w:r>
        <w:instrText xml:space="preserve"> PAGEREF _Toc16494776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"_Toc16494777" </w:instrText>
      </w:r>
      <w:r>
        <w:fldChar w:fldCharType="separate"/>
      </w:r>
      <w:r>
        <w:rPr>
          <w:rStyle w:val="24"/>
          <w:lang w:val="en-GB"/>
        </w:rPr>
        <w:t>6.1</w:t>
      </w:r>
      <w:r>
        <w:rPr>
          <w:rFonts w:asciiTheme="minorHAnsi" w:hAnsiTheme="minorHAnsi" w:eastAsiaTheme="minorEastAsia" w:cstheme="minorBidi"/>
          <w:szCs w:val="22"/>
        </w:rPr>
        <w:tab/>
      </w:r>
      <w:r>
        <w:rPr>
          <w:rStyle w:val="24"/>
          <w:rFonts w:hint="eastAsia"/>
        </w:rPr>
        <w:t>平均迎风面积比</w:t>
      </w:r>
      <w:r>
        <w:tab/>
      </w:r>
      <w:r>
        <w:fldChar w:fldCharType="begin"/>
      </w:r>
      <w:r>
        <w:instrText xml:space="preserve"> PAGEREF _Toc16494777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"_Toc16494778" </w:instrText>
      </w:r>
      <w:r>
        <w:fldChar w:fldCharType="separate"/>
      </w:r>
      <w:r>
        <w:rPr>
          <w:rStyle w:val="24"/>
          <w:lang w:val="en-GB"/>
        </w:rPr>
        <w:t>6.2</w:t>
      </w:r>
      <w:r>
        <w:rPr>
          <w:rFonts w:asciiTheme="minorHAnsi" w:hAnsiTheme="minorHAnsi" w:eastAsiaTheme="minorEastAsia" w:cstheme="minorBidi"/>
          <w:szCs w:val="22"/>
        </w:rPr>
        <w:tab/>
      </w:r>
      <w:r>
        <w:rPr>
          <w:rStyle w:val="24"/>
          <w:rFonts w:hint="eastAsia"/>
        </w:rPr>
        <w:t>活动场地遮阳覆盖率</w:t>
      </w:r>
      <w:r>
        <w:tab/>
      </w:r>
      <w:r>
        <w:fldChar w:fldCharType="begin"/>
      </w:r>
      <w:r>
        <w:instrText xml:space="preserve"> PAGEREF _Toc16494778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"_Toc16494779" </w:instrText>
      </w:r>
      <w:r>
        <w:fldChar w:fldCharType="separate"/>
      </w:r>
      <w:r>
        <w:rPr>
          <w:rStyle w:val="24"/>
          <w:lang w:val="en-GB"/>
        </w:rPr>
        <w:t>6.3</w:t>
      </w:r>
      <w:r>
        <w:rPr>
          <w:rFonts w:asciiTheme="minorHAnsi" w:hAnsiTheme="minorHAnsi" w:eastAsiaTheme="minorEastAsia" w:cstheme="minorBidi"/>
          <w:szCs w:val="22"/>
        </w:rPr>
        <w:tab/>
      </w:r>
      <w:r>
        <w:rPr>
          <w:rStyle w:val="24"/>
          <w:rFonts w:hint="eastAsia"/>
        </w:rPr>
        <w:t>底层通风架空率</w:t>
      </w:r>
      <w:r>
        <w:tab/>
      </w:r>
      <w:r>
        <w:fldChar w:fldCharType="begin"/>
      </w:r>
      <w:r>
        <w:instrText xml:space="preserve"> PAGEREF _Toc16494779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"_Toc16494780" </w:instrText>
      </w:r>
      <w:r>
        <w:fldChar w:fldCharType="separate"/>
      </w:r>
      <w:r>
        <w:rPr>
          <w:rStyle w:val="24"/>
          <w:lang w:val="en-GB"/>
        </w:rPr>
        <w:t>6.4</w:t>
      </w:r>
      <w:r>
        <w:rPr>
          <w:rFonts w:asciiTheme="minorHAnsi" w:hAnsiTheme="minorHAnsi" w:eastAsiaTheme="minorEastAsia" w:cstheme="minorBidi"/>
          <w:szCs w:val="22"/>
        </w:rPr>
        <w:tab/>
      </w:r>
      <w:r>
        <w:rPr>
          <w:rStyle w:val="24"/>
          <w:rFonts w:hint="eastAsia"/>
        </w:rPr>
        <w:t>绿化遮阳体叶面积指数</w:t>
      </w:r>
      <w:r>
        <w:tab/>
      </w:r>
      <w:r>
        <w:fldChar w:fldCharType="begin"/>
      </w:r>
      <w:r>
        <w:instrText xml:space="preserve"> PAGEREF _Toc16494780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"_Toc16494781" </w:instrText>
      </w:r>
      <w:r>
        <w:fldChar w:fldCharType="separate"/>
      </w:r>
      <w:r>
        <w:rPr>
          <w:rStyle w:val="24"/>
          <w:lang w:val="en-GB"/>
        </w:rPr>
        <w:t>6.5</w:t>
      </w:r>
      <w:r>
        <w:rPr>
          <w:rFonts w:asciiTheme="minorHAnsi" w:hAnsiTheme="minorHAnsi" w:eastAsiaTheme="minorEastAsia" w:cstheme="minorBidi"/>
          <w:szCs w:val="22"/>
        </w:rPr>
        <w:tab/>
      </w:r>
      <w:r>
        <w:rPr>
          <w:rStyle w:val="24"/>
          <w:rFonts w:hint="eastAsia"/>
        </w:rPr>
        <w:t>渗透蒸发指标</w:t>
      </w:r>
      <w:r>
        <w:tab/>
      </w:r>
      <w:r>
        <w:fldChar w:fldCharType="begin"/>
      </w:r>
      <w:r>
        <w:instrText xml:space="preserve"> PAGEREF _Toc16494781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"_Toc16494782" </w:instrText>
      </w:r>
      <w:r>
        <w:fldChar w:fldCharType="separate"/>
      </w:r>
      <w:r>
        <w:rPr>
          <w:rStyle w:val="24"/>
          <w:lang w:val="en-GB"/>
        </w:rPr>
        <w:t>6.6</w:t>
      </w:r>
      <w:r>
        <w:rPr>
          <w:rFonts w:asciiTheme="minorHAnsi" w:hAnsiTheme="minorHAnsi" w:eastAsiaTheme="minorEastAsia" w:cstheme="minorBidi"/>
          <w:szCs w:val="22"/>
        </w:rPr>
        <w:tab/>
      </w:r>
      <w:r>
        <w:rPr>
          <w:rStyle w:val="24"/>
          <w:rFonts w:hint="eastAsia"/>
        </w:rPr>
        <w:t>屋面绿化率</w:t>
      </w:r>
      <w:r>
        <w:tab/>
      </w:r>
      <w:r>
        <w:fldChar w:fldCharType="begin"/>
      </w:r>
      <w:r>
        <w:instrText xml:space="preserve"> PAGEREF _Toc16494782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"_Toc16494783" </w:instrText>
      </w:r>
      <w:r>
        <w:fldChar w:fldCharType="separate"/>
      </w:r>
      <w:r>
        <w:rPr>
          <w:rStyle w:val="24"/>
        </w:rPr>
        <w:t>7</w:t>
      </w:r>
      <w:r>
        <w:rPr>
          <w:rFonts w:asciiTheme="minorHAnsi" w:hAnsiTheme="minorHAnsi" w:eastAsiaTheme="minorEastAsia" w:cstheme="minorBidi"/>
          <w:b w:val="0"/>
          <w:bCs w:val="0"/>
          <w:szCs w:val="22"/>
        </w:rPr>
        <w:tab/>
      </w:r>
      <w:r>
        <w:rPr>
          <w:rStyle w:val="24"/>
          <w:rFonts w:hint="eastAsia"/>
        </w:rPr>
        <w:t>评价性设计</w:t>
      </w:r>
      <w:r>
        <w:tab/>
      </w:r>
      <w:r>
        <w:fldChar w:fldCharType="begin"/>
      </w:r>
      <w:r>
        <w:instrText xml:space="preserve"> PAGEREF _Toc16494783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"_Toc16494784" </w:instrText>
      </w:r>
      <w:r>
        <w:fldChar w:fldCharType="separate"/>
      </w:r>
      <w:r>
        <w:rPr>
          <w:rStyle w:val="24"/>
          <w:lang w:val="en-GB"/>
        </w:rPr>
        <w:t>7.1</w:t>
      </w:r>
      <w:r>
        <w:rPr>
          <w:rFonts w:asciiTheme="minorHAnsi" w:hAnsiTheme="minorHAnsi" w:eastAsiaTheme="minorEastAsia" w:cstheme="minorBidi"/>
          <w:szCs w:val="22"/>
        </w:rPr>
        <w:tab/>
      </w:r>
      <w:r>
        <w:rPr>
          <w:rStyle w:val="24"/>
          <w:rFonts w:hint="eastAsia"/>
        </w:rPr>
        <w:t>平均热岛强度</w:t>
      </w:r>
      <w:r>
        <w:tab/>
      </w:r>
      <w:r>
        <w:fldChar w:fldCharType="begin"/>
      </w:r>
      <w:r>
        <w:instrText xml:space="preserve"> PAGEREF _Toc16494784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"_Toc16494785" </w:instrText>
      </w:r>
      <w:r>
        <w:fldChar w:fldCharType="separate"/>
      </w:r>
      <w:r>
        <w:rPr>
          <w:rStyle w:val="24"/>
          <w:lang w:val="en-GB"/>
        </w:rPr>
        <w:t>7.2</w:t>
      </w:r>
      <w:r>
        <w:rPr>
          <w:rFonts w:asciiTheme="minorHAnsi" w:hAnsiTheme="minorHAnsi" w:eastAsiaTheme="minorEastAsia" w:cstheme="minorBidi"/>
          <w:szCs w:val="22"/>
        </w:rPr>
        <w:tab/>
      </w:r>
      <w:r>
        <w:rPr>
          <w:rStyle w:val="24"/>
          <w:rFonts w:hint="eastAsia"/>
        </w:rPr>
        <w:t>湿球黑球温度</w:t>
      </w:r>
      <w:r>
        <w:tab/>
      </w:r>
      <w:r>
        <w:fldChar w:fldCharType="begin"/>
      </w:r>
      <w:r>
        <w:instrText xml:space="preserve"> PAGEREF _Toc16494785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"_Toc16494786" </w:instrText>
      </w:r>
      <w:r>
        <w:fldChar w:fldCharType="separate"/>
      </w:r>
      <w:r>
        <w:rPr>
          <w:rStyle w:val="24"/>
        </w:rPr>
        <w:t>8</w:t>
      </w:r>
      <w:r>
        <w:rPr>
          <w:rFonts w:asciiTheme="minorHAnsi" w:hAnsiTheme="minorHAnsi" w:eastAsiaTheme="minorEastAsia" w:cstheme="minorBidi"/>
          <w:b w:val="0"/>
          <w:bCs w:val="0"/>
          <w:szCs w:val="22"/>
        </w:rPr>
        <w:tab/>
      </w:r>
      <w:r>
        <w:rPr>
          <w:rStyle w:val="24"/>
          <w:rFonts w:hint="eastAsia"/>
        </w:rPr>
        <w:t>结论</w:t>
      </w:r>
      <w:r>
        <w:tab/>
      </w:r>
      <w:r>
        <w:fldChar w:fldCharType="begin"/>
      </w:r>
      <w:r>
        <w:instrText xml:space="preserve"> PAGEREF _Toc16494786 \h </w:instrText>
      </w:r>
      <w:r>
        <w:fldChar w:fldCharType="separate"/>
      </w:r>
      <w:r>
        <w:t>6</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6494766"/>
      <w:r>
        <w:rPr>
          <w:rFonts w:hint="eastAsia"/>
        </w:rPr>
        <w:t>住区概况</w:t>
      </w:r>
      <w:bookmarkEnd w:id="10"/>
    </w:p>
    <w:tbl>
      <w:tblPr>
        <w:tblStyle w:val="19"/>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1" w:name="工程名称1"/>
            <w:r>
              <w:rPr>
                <w:rFonts w:hint="eastAsia" w:ascii="宋体" w:hAnsi="宋体"/>
              </w:rPr>
              <w:t>XXX住宅小区</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2" w:name="工程地点"/>
            <w:r>
              <w:t>泉州</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3" w:name="纬度"/>
            <w:r>
              <w:t>24.93</w:t>
            </w:r>
            <w:bookmarkEnd w:id="13"/>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4" w:name="经度"/>
            <w:r>
              <w:t>118.60</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5" w:name="气候区"/>
            <w:r>
              <w:t>IVA</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6" w:name="主导风向"/>
            <w:r>
              <w:t>东南</w:t>
            </w:r>
            <w:bookmarkEnd w:id="16"/>
          </w:p>
        </w:tc>
      </w:tr>
    </w:tbl>
    <w:p>
      <w:pPr>
        <w:pStyle w:val="3"/>
        <w:ind w:firstLine="420"/>
        <w:rPr>
          <w:lang w:val="en-US"/>
        </w:rPr>
      </w:pPr>
    </w:p>
    <w:p>
      <w:pPr>
        <w:pStyle w:val="3"/>
        <w:ind w:firstLine="420"/>
        <w:jc w:val="center"/>
        <w:rPr>
          <w:lang w:val="en-US"/>
        </w:rPr>
      </w:pPr>
      <w:bookmarkStart w:id="17" w:name="总图鸟瞰图"/>
      <w:bookmarkEnd w:id="17"/>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8" w:name="OLE_LINK3"/>
      <w:bookmarkStart w:id="19" w:name="OLE_LINK4"/>
      <w:r>
        <w:rPr>
          <w:rFonts w:hint="eastAsia" w:ascii="宋体" w:hAnsi="宋体"/>
        </w:rPr>
        <w:t>图</w:t>
      </w:r>
      <w:r>
        <w:rPr>
          <w:rFonts w:ascii="宋体" w:hAnsi="宋体"/>
        </w:rPr>
        <w:t>1</w:t>
      </w:r>
      <w:r>
        <w:rPr>
          <w:rFonts w:hint="eastAsia" w:ascii="宋体" w:hAnsi="宋体"/>
        </w:rPr>
        <w:t>.1 场地鸟瞰图</w:t>
      </w:r>
      <w:bookmarkEnd w:id="18"/>
      <w:bookmarkEnd w:id="19"/>
    </w:p>
    <w:p>
      <w:pPr>
        <w:pStyle w:val="3"/>
        <w:ind w:firstLine="420"/>
        <w:rPr>
          <w:lang w:val="en-US"/>
        </w:rPr>
      </w:pPr>
    </w:p>
    <w:p>
      <w:pPr>
        <w:pStyle w:val="3"/>
        <w:ind w:firstLine="420"/>
        <w:jc w:val="center"/>
        <w:rPr>
          <w:lang w:val="en-US"/>
        </w:rPr>
      </w:pPr>
      <w:bookmarkStart w:id="20" w:name="总图平面图"/>
      <w:bookmarkEnd w:id="20"/>
      <w:r>
        <w:drawing>
          <wp:inline distT="0" distB="0" distL="0" distR="0">
            <wp:extent cx="4657725" cy="4257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4658214" cy="4258122"/>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1" w:name="_Toc16494767"/>
      <w:bookmarkStart w:id="22" w:name="TitleFormat"/>
      <w:r>
        <w:rPr>
          <w:rFonts w:hint="eastAsia"/>
        </w:rPr>
        <w:t>设计依据</w:t>
      </w:r>
      <w:bookmarkEnd w:id="21"/>
    </w:p>
    <w:bookmarkEnd w:id="22"/>
    <w:p>
      <w:pPr>
        <w:widowControl w:val="0"/>
        <w:jc w:val="both"/>
        <w:rPr>
          <w:kern w:val="2"/>
          <w:szCs w:val="24"/>
          <w:lang w:val="en-US"/>
        </w:rPr>
      </w:pPr>
      <w:bookmarkStart w:id="23" w:name="计算依据"/>
      <w:bookmarkEnd w:id="23"/>
      <w:r>
        <w:rPr>
          <w:rFonts w:hint="eastAsia"/>
          <w:kern w:val="2"/>
          <w:szCs w:val="24"/>
          <w:lang w:val="en-US"/>
        </w:rPr>
        <w:t>《城市居住区热环境设计标准》（JGJ 286-2013）</w:t>
      </w:r>
    </w:p>
    <w:p>
      <w:pPr>
        <w:pStyle w:val="2"/>
      </w:pPr>
      <w:bookmarkStart w:id="24" w:name="_Toc16494768"/>
      <w:r>
        <w:rPr>
          <w:rFonts w:hint="eastAsia"/>
        </w:rPr>
        <w:t>计算规定</w:t>
      </w:r>
      <w:bookmarkEnd w:id="24"/>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5" w:name="_Toc16494769"/>
      <w:r>
        <w:rPr>
          <w:rFonts w:hint="eastAsia"/>
        </w:rPr>
        <w:t>强制条文</w:t>
      </w:r>
      <w:bookmarkEnd w:id="25"/>
    </w:p>
    <w:p>
      <w:pPr>
        <w:pStyle w:val="3"/>
        <w:spacing w:line="360" w:lineRule="auto"/>
        <w:ind w:firstLine="420"/>
        <w:rPr>
          <w:kern w:val="2"/>
          <w:szCs w:val="24"/>
          <w:lang w:val="en-US"/>
        </w:rPr>
      </w:pPr>
      <w:r>
        <w:rPr>
          <w:rFonts w:hint="eastAsia"/>
          <w:kern w:val="2"/>
          <w:szCs w:val="24"/>
          <w:lang w:val="en-US"/>
        </w:rPr>
        <w:t>（1）</w:t>
      </w:r>
      <w:r>
        <w:rPr>
          <w:kern w:val="2"/>
          <w:szCs w:val="24"/>
          <w:lang w:val="en-US"/>
        </w:rPr>
        <w:t>4</w:t>
      </w:r>
      <w:r>
        <w:rPr>
          <w:rFonts w:hint="eastAsia"/>
          <w:kern w:val="2"/>
          <w:szCs w:val="24"/>
          <w:lang w:val="en-US"/>
        </w:rPr>
        <w:t>.1.1</w:t>
      </w:r>
      <w:r>
        <w:rPr>
          <w:kern w:val="2"/>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2"/>
          <w:rFonts w:ascii="Arial" w:hAnsi="Arial" w:cs="Arial"/>
          <w:color w:val="333333"/>
          <w:sz w:val="21"/>
          <w:szCs w:val="21"/>
        </w:rPr>
      </w:pPr>
      <w:r>
        <w:rPr>
          <w:rStyle w:val="22"/>
          <w:rFonts w:ascii="Arial" w:hAnsi="Arial" w:cs="Arial"/>
          <w:color w:val="333333"/>
          <w:sz w:val="21"/>
          <w:szCs w:val="21"/>
        </w:rPr>
        <w:t>表4．1．1 居住区的夏季平均迎风面积比（ζ</w:t>
      </w:r>
      <w:r>
        <w:rPr>
          <w:rStyle w:val="22"/>
          <w:rFonts w:ascii="Arial" w:hAnsi="Arial" w:cs="Arial"/>
          <w:color w:val="333333"/>
          <w:sz w:val="21"/>
          <w:szCs w:val="21"/>
          <w:vertAlign w:val="subscript"/>
        </w:rPr>
        <w:t>s</w:t>
      </w:r>
      <w:r>
        <w:rPr>
          <w:rStyle w:val="22"/>
          <w:rFonts w:ascii="Arial" w:hAnsi="Arial" w:cs="Arial"/>
          <w:color w:val="333333"/>
          <w:sz w:val="21"/>
          <w:szCs w:val="21"/>
        </w:rPr>
        <w:t>）限值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表4．2．1 居住区活动场地的遮阳覆盖率限值(％)</w:t>
      </w:r>
    </w:p>
    <w:tbl>
      <w:tblPr>
        <w:tblStyle w:val="20"/>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6" w:name="_Toc16494770"/>
      <w:r>
        <w:rPr>
          <w:rFonts w:hint="eastAsia"/>
        </w:rPr>
        <w:t>规定性设计</w:t>
      </w:r>
      <w:bookmarkEnd w:id="26"/>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（1）4.1.4：在Ⅲ、Ⅳ、Ⅴ建筑气候区，当夏季主导风向上的建筑物迎风面宽度超过80m时，该建筑底层的通风架空率不应小于10％。</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（2）4.2.3：</w:t>
      </w:r>
      <w:r>
        <w:rPr>
          <w:rFonts w:ascii="Times New Roman" w:hAnsi="Times New Roman" w:cs="Times New Roman"/>
          <w:bCs/>
          <w:kern w:val="2"/>
        </w:rPr>
        <w:t>绿化遮阳体的叶面积指数不应小于3</w:t>
      </w:r>
      <w:r>
        <w:rPr>
          <w:rFonts w:hint="eastAsia" w:ascii="Times New Roman" w:hAnsi="Times New Roman" w:cs="Times New Roman"/>
          <w:bCs/>
          <w:kern w:val="2"/>
        </w:rPr>
        <w:t>.0</w:t>
      </w:r>
      <w:r>
        <w:rPr>
          <w:rFonts w:ascii="Times New Roman" w:hAnsi="Times New Roman" w:cs="Times New Roman"/>
          <w:bCs/>
          <w:kern w:val="2"/>
        </w:rPr>
        <w:t>。</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（3）4.3.1：居住区户外活动场地和人行道路地面应有雨水渗透与蒸发能力，渗透与蒸发指标不应低于表4.3.1的规定。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w:t>
      </w:r>
      <w:r>
        <w:rPr>
          <w:rStyle w:val="22"/>
          <w:rFonts w:hint="eastAsia" w:ascii="Arial" w:hAnsi="Arial" w:cs="Arial"/>
          <w:color w:val="333333"/>
          <w:sz w:val="21"/>
          <w:szCs w:val="21"/>
        </w:rPr>
        <w:t>3</w:t>
      </w:r>
      <w:r>
        <w:rPr>
          <w:rStyle w:val="22"/>
          <w:rFonts w:ascii="Arial" w:hAnsi="Arial" w:cs="Arial"/>
          <w:color w:val="333333"/>
          <w:sz w:val="21"/>
          <w:szCs w:val="21"/>
        </w:rPr>
        <w:t>．1 居住区</w:t>
      </w:r>
      <w:r>
        <w:rPr>
          <w:rStyle w:val="22"/>
          <w:rFonts w:hint="eastAsia" w:ascii="Arial" w:hAnsi="Arial" w:cs="Arial"/>
          <w:color w:val="333333"/>
          <w:sz w:val="21"/>
          <w:szCs w:val="21"/>
        </w:rPr>
        <w:t>地面渗透蒸发指标</w:t>
      </w:r>
    </w:p>
    <w:tbl>
      <w:tblPr>
        <w:tblStyle w:val="19"/>
        <w:tblW w:w="9747" w:type="dxa"/>
        <w:tblInd w:w="0" w:type="dxa"/>
        <w:tblLayout w:type="autofit"/>
        <w:tblCellMar>
          <w:top w:w="0" w:type="dxa"/>
          <w:left w:w="0" w:type="dxa"/>
          <w:bottom w:w="0" w:type="dxa"/>
          <w:right w:w="0" w:type="dxa"/>
        </w:tblCellMar>
      </w:tblPr>
      <w:tblGrid>
        <w:gridCol w:w="1116"/>
        <w:gridCol w:w="1456"/>
        <w:gridCol w:w="1439"/>
        <w:gridCol w:w="1278"/>
        <w:gridCol w:w="1536"/>
        <w:gridCol w:w="1505"/>
        <w:gridCol w:w="1417"/>
      </w:tblGrid>
      <w:tr>
        <w:tblPrEx>
          <w:tblCellMar>
            <w:top w:w="0" w:type="dxa"/>
            <w:left w:w="0" w:type="dxa"/>
            <w:bottom w:w="0" w:type="dxa"/>
            <w:right w:w="0" w:type="dxa"/>
          </w:tblCellMar>
        </w:tblPrEx>
        <w:trPr>
          <w:trHeight w:val="403" w:hRule="atLeast"/>
        </w:trPr>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w:t>
            </w:r>
          </w:p>
        </w:tc>
        <w:tc>
          <w:tcPr>
            <w:tcW w:w="417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I、II、VI、VII气候区</w:t>
            </w:r>
          </w:p>
        </w:tc>
        <w:tc>
          <w:tcPr>
            <w:tcW w:w="445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III、IV、V气候区</w:t>
            </w:r>
          </w:p>
        </w:tc>
      </w:tr>
      <w:tr>
        <w:trPr>
          <w:trHeight w:val="1108"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bCs/>
                <w:kern w:val="2"/>
                <w:szCs w:val="21"/>
                <w:lang w:val="en-US"/>
              </w:rPr>
            </w:pP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43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2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广场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40</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3</w:t>
            </w:r>
          </w:p>
        </w:tc>
        <w:tc>
          <w:tcPr>
            <w:tcW w:w="127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1.6</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15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rFonts w:ascii="Arial" w:hAnsi="Arial" w:cs="Arial"/>
                <w:sz w:val="36"/>
                <w:szCs w:val="36"/>
                <w:lang w:val="en-US"/>
              </w:rPr>
            </w:pPr>
            <w:r>
              <w:rPr>
                <w:rFonts w:hint="eastAsia" w:ascii="微软雅黑" w:hAnsi="微软雅黑" w:cs="Arial" w:eastAsiaTheme="minorEastAsia"/>
                <w:color w:val="000000" w:themeColor="text1"/>
                <w:kern w:val="2"/>
                <w:sz w:val="24"/>
                <w:szCs w:val="24"/>
                <w:lang w:val="en-US"/>
              </w:rPr>
              <w:t>3</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1.3</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游憩场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停车场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70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人行道</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bl>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（4）居住区内建筑屋面的绿化面积不应低于可绿化屋面面积的50％。</w:t>
      </w:r>
    </w:p>
    <w:p>
      <w:pPr>
        <w:pStyle w:val="3"/>
        <w:ind w:firstLine="199" w:firstLineChars="95"/>
        <w:rPr>
          <w:lang w:val="en-US"/>
        </w:rPr>
      </w:pPr>
      <w:r>
        <w:rPr>
          <w:rFonts w:hint="eastAsia"/>
          <w:lang w:val="en-US"/>
        </w:rPr>
        <w:t>当以上4条有任意一条不能满足时候，需要进行评价性设计。</w:t>
      </w:r>
    </w:p>
    <w:p>
      <w:pPr>
        <w:pStyle w:val="4"/>
      </w:pPr>
      <w:bookmarkStart w:id="27" w:name="_Toc16494771"/>
      <w:r>
        <w:rPr>
          <w:rFonts w:hint="eastAsia"/>
        </w:rPr>
        <w:t>评价性设计</w:t>
      </w:r>
      <w:bookmarkEnd w:id="27"/>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8" w:name="_Toc16494772"/>
      <w:r>
        <w:rPr>
          <w:rFonts w:hint="eastAsia"/>
        </w:rPr>
        <w:t>计算参数</w:t>
      </w:r>
      <w:bookmarkEnd w:id="28"/>
    </w:p>
    <w:p>
      <w:pPr>
        <w:pStyle w:val="4"/>
      </w:pPr>
      <w:bookmarkStart w:id="29" w:name="_Toc16494773"/>
      <w:r>
        <w:rPr>
          <w:rFonts w:hint="eastAsia"/>
        </w:rPr>
        <w:t>典型气象日气象参数</w:t>
      </w:r>
      <w:bookmarkEnd w:id="2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26.2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26.1</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26.1</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26.1</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26.3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26.6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27.0</w:t>
            </w:r>
          </w:p>
        </w:tc>
        <w:tc>
          <w:tcPr>
            <w:vAlign w:val="center"/>
          </w:tcPr>
          <w:p>
            <w:pPr>
              <w:jc w:val="center"/>
            </w:pPr>
            <w:r>
              <w:t>80</w:t>
            </w:r>
          </w:p>
        </w:tc>
        <w:tc>
          <w:tcPr>
            <w:vAlign w:val="center"/>
          </w:tcPr>
          <w:p>
            <w:pPr>
              <w:jc w:val="center"/>
            </w:pPr>
            <w:r>
              <w:t>38.89</w:t>
            </w:r>
          </w:p>
        </w:tc>
        <w:tc>
          <w:tcPr>
            <w:vAlign w:val="center"/>
          </w:tcPr>
          <w:p>
            <w:pPr>
              <w:jc w:val="center"/>
            </w:pPr>
            <w:r>
              <w:t>33.33</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27.5</w:t>
            </w:r>
          </w:p>
        </w:tc>
        <w:tc>
          <w:tcPr>
            <w:vAlign w:val="center"/>
          </w:tcPr>
          <w:p>
            <w:pPr>
              <w:jc w:val="center"/>
            </w:pPr>
            <w:r>
              <w:t>77</w:t>
            </w:r>
          </w:p>
        </w:tc>
        <w:tc>
          <w:tcPr>
            <w:vAlign w:val="center"/>
          </w:tcPr>
          <w:p>
            <w:pPr>
              <w:jc w:val="center"/>
            </w:pPr>
            <w:r>
              <w:t>122.22</w:t>
            </w:r>
          </w:p>
        </w:tc>
        <w:tc>
          <w:tcPr>
            <w:vAlign w:val="center"/>
          </w:tcPr>
          <w:p>
            <w:pPr>
              <w:jc w:val="center"/>
            </w:pPr>
            <w:r>
              <w:t>86.11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28.2</w:t>
            </w:r>
          </w:p>
        </w:tc>
        <w:tc>
          <w:tcPr>
            <w:vAlign w:val="center"/>
          </w:tcPr>
          <w:p>
            <w:pPr>
              <w:jc w:val="center"/>
            </w:pPr>
            <w:r>
              <w:t>74</w:t>
            </w:r>
          </w:p>
        </w:tc>
        <w:tc>
          <w:tcPr>
            <w:vAlign w:val="center"/>
          </w:tcPr>
          <w:p>
            <w:pPr>
              <w:jc w:val="center"/>
            </w:pPr>
            <w:r>
              <w:t>216.67</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29.0</w:t>
            </w:r>
          </w:p>
        </w:tc>
        <w:tc>
          <w:tcPr>
            <w:vAlign w:val="center"/>
          </w:tcPr>
          <w:p>
            <w:pPr>
              <w:jc w:val="center"/>
            </w:pPr>
            <w:r>
              <w:t>71</w:t>
            </w:r>
          </w:p>
        </w:tc>
        <w:tc>
          <w:tcPr>
            <w:vAlign w:val="center"/>
          </w:tcPr>
          <w:p>
            <w:pPr>
              <w:jc w:val="center"/>
            </w:pPr>
            <w:r>
              <w:t>308.33</w:t>
            </w:r>
          </w:p>
        </w:tc>
        <w:tc>
          <w:tcPr>
            <w:vAlign w:val="center"/>
          </w:tcPr>
          <w:p>
            <w:pPr>
              <w:jc w:val="center"/>
            </w:pPr>
            <w:r>
              <w:t>172.22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29.7</w:t>
            </w:r>
          </w:p>
        </w:tc>
        <w:tc>
          <w:tcPr>
            <w:vAlign w:val="center"/>
          </w:tcPr>
          <w:p>
            <w:pPr>
              <w:jc w:val="center"/>
            </w:pPr>
            <w:r>
              <w:t>68</w:t>
            </w:r>
          </w:p>
        </w:tc>
        <w:tc>
          <w:tcPr>
            <w:vAlign w:val="center"/>
          </w:tcPr>
          <w:p>
            <w:pPr>
              <w:jc w:val="center"/>
            </w:pPr>
            <w:r>
              <w:t>388.89</w:t>
            </w:r>
          </w:p>
        </w:tc>
        <w:tc>
          <w:tcPr>
            <w:vAlign w:val="center"/>
          </w:tcPr>
          <w:p>
            <w:pPr>
              <w:jc w:val="center"/>
            </w:pPr>
            <w:r>
              <w:t>202.78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30.4</w:t>
            </w:r>
          </w:p>
        </w:tc>
        <w:tc>
          <w:tcPr>
            <w:vAlign w:val="center"/>
          </w:tcPr>
          <w:p>
            <w:pPr>
              <w:jc w:val="center"/>
            </w:pPr>
            <w:r>
              <w:t>66</w:t>
            </w:r>
          </w:p>
        </w:tc>
        <w:tc>
          <w:tcPr>
            <w:vAlign w:val="center"/>
          </w:tcPr>
          <w:p>
            <w:pPr>
              <w:jc w:val="center"/>
            </w:pPr>
            <w:r>
              <w:t>444.44</w:t>
            </w:r>
          </w:p>
        </w:tc>
        <w:tc>
          <w:tcPr>
            <w:vAlign w:val="center"/>
          </w:tcPr>
          <w:p>
            <w:pPr>
              <w:jc w:val="center"/>
            </w:pPr>
            <w:r>
              <w:t>225.00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30.9</w:t>
            </w:r>
          </w:p>
        </w:tc>
        <w:tc>
          <w:tcPr>
            <w:vAlign w:val="center"/>
          </w:tcPr>
          <w:p>
            <w:pPr>
              <w:jc w:val="center"/>
            </w:pPr>
            <w:r>
              <w:t>65</w:t>
            </w:r>
          </w:p>
        </w:tc>
        <w:tc>
          <w:tcPr>
            <w:vAlign w:val="center"/>
          </w:tcPr>
          <w:p>
            <w:pPr>
              <w:jc w:val="center"/>
            </w:pPr>
            <w:r>
              <w:t>466.67</w:t>
            </w:r>
          </w:p>
        </w:tc>
        <w:tc>
          <w:tcPr>
            <w:vAlign w:val="center"/>
          </w:tcPr>
          <w:p>
            <w:pPr>
              <w:jc w:val="center"/>
            </w:pPr>
            <w:r>
              <w:t>233.33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31.1</w:t>
            </w:r>
          </w:p>
        </w:tc>
        <w:tc>
          <w:tcPr>
            <w:vAlign w:val="center"/>
          </w:tcPr>
          <w:p>
            <w:pPr>
              <w:jc w:val="center"/>
            </w:pPr>
            <w:r>
              <w:t>64</w:t>
            </w:r>
          </w:p>
        </w:tc>
        <w:tc>
          <w:tcPr>
            <w:vAlign w:val="center"/>
          </w:tcPr>
          <w:p>
            <w:pPr>
              <w:jc w:val="center"/>
            </w:pPr>
            <w:r>
              <w:t>450.00</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31.0</w:t>
            </w:r>
          </w:p>
        </w:tc>
        <w:tc>
          <w:tcPr>
            <w:vAlign w:val="center"/>
          </w:tcPr>
          <w:p>
            <w:pPr>
              <w:jc w:val="center"/>
            </w:pPr>
            <w:r>
              <w:t>65</w:t>
            </w:r>
          </w:p>
        </w:tc>
        <w:tc>
          <w:tcPr>
            <w:vAlign w:val="center"/>
          </w:tcPr>
          <w:p>
            <w:pPr>
              <w:jc w:val="center"/>
            </w:pPr>
            <w:r>
              <w:t>397.22</w:t>
            </w:r>
          </w:p>
        </w:tc>
        <w:tc>
          <w:tcPr>
            <w:vAlign w:val="center"/>
          </w:tcPr>
          <w:p>
            <w:pPr>
              <w:jc w:val="center"/>
            </w:pPr>
            <w:r>
              <w:t>208.33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30.7</w:t>
            </w:r>
          </w:p>
        </w:tc>
        <w:tc>
          <w:tcPr>
            <w:vAlign w:val="center"/>
          </w:tcPr>
          <w:p>
            <w:pPr>
              <w:jc w:val="center"/>
            </w:pPr>
            <w:r>
              <w:t>66</w:t>
            </w:r>
          </w:p>
        </w:tc>
        <w:tc>
          <w:tcPr>
            <w:vAlign w:val="center"/>
          </w:tcPr>
          <w:p>
            <w:pPr>
              <w:jc w:val="center"/>
            </w:pPr>
            <w:r>
              <w:t>319.44</w:t>
            </w:r>
          </w:p>
        </w:tc>
        <w:tc>
          <w:tcPr>
            <w:vAlign w:val="center"/>
          </w:tcPr>
          <w:p>
            <w:pPr>
              <w:jc w:val="center"/>
            </w:pPr>
            <w:r>
              <w:t>175.00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30.1</w:t>
            </w:r>
          </w:p>
        </w:tc>
        <w:tc>
          <w:tcPr>
            <w:vAlign w:val="center"/>
          </w:tcPr>
          <w:p>
            <w:pPr>
              <w:jc w:val="center"/>
            </w:pPr>
            <w:r>
              <w:t>68</w:t>
            </w:r>
          </w:p>
        </w:tc>
        <w:tc>
          <w:tcPr>
            <w:vAlign w:val="center"/>
          </w:tcPr>
          <w:p>
            <w:pPr>
              <w:jc w:val="center"/>
            </w:pPr>
            <w:r>
              <w:t>225.00</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29.4</w:t>
            </w:r>
          </w:p>
        </w:tc>
        <w:tc>
          <w:tcPr>
            <w:vAlign w:val="center"/>
          </w:tcPr>
          <w:p>
            <w:pPr>
              <w:jc w:val="center"/>
            </w:pPr>
            <w:r>
              <w:t>71</w:t>
            </w:r>
          </w:p>
        </w:tc>
        <w:tc>
          <w:tcPr>
            <w:vAlign w:val="center"/>
          </w:tcPr>
          <w:p>
            <w:pPr>
              <w:jc w:val="center"/>
            </w:pPr>
            <w:r>
              <w:t>130.56</w:t>
            </w:r>
          </w:p>
        </w:tc>
        <w:tc>
          <w:tcPr>
            <w:vAlign w:val="center"/>
          </w:tcPr>
          <w:p>
            <w:pPr>
              <w:jc w:val="center"/>
            </w:pPr>
            <w:r>
              <w:t>83.33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28.8</w:t>
            </w:r>
          </w:p>
        </w:tc>
        <w:tc>
          <w:tcPr>
            <w:vAlign w:val="center"/>
          </w:tcPr>
          <w:p>
            <w:pPr>
              <w:jc w:val="center"/>
            </w:pPr>
            <w:r>
              <w:t>75</w:t>
            </w:r>
          </w:p>
        </w:tc>
        <w:tc>
          <w:tcPr>
            <w:vAlign w:val="center"/>
          </w:tcPr>
          <w:p>
            <w:pPr>
              <w:jc w:val="center"/>
            </w:pPr>
            <w:r>
              <w:t>47.22</w:t>
            </w:r>
          </w:p>
        </w:tc>
        <w:tc>
          <w:tcPr>
            <w:vAlign w:val="center"/>
          </w:tcPr>
          <w:p>
            <w:pPr>
              <w:jc w:val="center"/>
            </w:pPr>
            <w:r>
              <w:t>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28.1</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27.6</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27.1</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26.7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26.4</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28.2</w:t>
            </w:r>
          </w:p>
        </w:tc>
        <w:tc>
          <w:tcPr>
            <w:vAlign w:val="center"/>
          </w:tcPr>
          <w:p>
            <w:pPr>
              <w:jc w:val="center"/>
            </w:pPr>
            <w:r>
              <w:t>77</w:t>
            </w:r>
          </w:p>
        </w:tc>
        <w:tc>
          <w:tcPr>
            <w:vAlign w:val="center"/>
          </w:tcPr>
          <w:p>
            <w:pPr>
              <w:jc w:val="center"/>
            </w:pPr>
            <w:r>
              <w:t>148.15</w:t>
            </w:r>
          </w:p>
        </w:tc>
        <w:tc>
          <w:tcPr>
            <w:vAlign w:val="center"/>
          </w:tcPr>
          <w:p>
            <w:pPr>
              <w:jc w:val="center"/>
            </w:pPr>
            <w:r>
              <w:t>81.13</w:t>
            </w:r>
          </w:p>
        </w:tc>
        <w:tc>
          <w:tcPr>
            <w:vAlign w:val="center"/>
          </w:tcPr>
          <w:p>
            <w:pPr>
              <w:jc w:val="center"/>
            </w:pPr>
            <w:r>
              <w:t>1.5</w:t>
            </w:r>
          </w:p>
        </w:tc>
        <w:tc>
          <w:tcPr>
            <w:vMerge w:val="continue"/>
            <w:vAlign w:val="center"/>
          </w:tcPr>
          <w:p>
            <w:pPr>
              <w:jc w:val="center"/>
            </w:pPr>
          </w:p>
        </w:tc>
      </w:tr>
    </w:tbl>
    <w:p>
      <w:pPr>
        <w:pStyle w:val="3"/>
        <w:ind w:firstLine="0" w:firstLineChars="0"/>
        <w:rPr>
          <w:lang w:val="en-US"/>
        </w:rPr>
      </w:pPr>
      <w:bookmarkStart w:id="30" w:name="气象参数"/>
      <w:bookmarkEnd w:id="30"/>
    </w:p>
    <w:p>
      <w:pPr>
        <w:pStyle w:val="4"/>
      </w:pPr>
      <w:bookmarkStart w:id="31" w:name="_Toc16494774"/>
      <w:r>
        <w:rPr>
          <w:rFonts w:hint="eastAsia"/>
        </w:rPr>
        <w:t>渗透面夏季逐时蒸发量</w:t>
      </w:r>
      <w:bookmarkEnd w:id="3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2" w:name="蒸发量参数"/>
      <w:bookmarkEnd w:id="32"/>
    </w:p>
    <w:p>
      <w:pPr>
        <w:pStyle w:val="2"/>
      </w:pPr>
      <w:bookmarkStart w:id="33" w:name="_Toc16494775"/>
      <w:r>
        <w:rPr>
          <w:rFonts w:hint="eastAsia"/>
        </w:rPr>
        <w:t>住区指标概览</w:t>
      </w:r>
      <w:bookmarkEnd w:id="3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89542.24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76385.05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3707.70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1040.01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15105.92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2451.49</w:t>
            </w:r>
          </w:p>
        </w:tc>
      </w:tr>
      <w:tr>
        <w:tblPrEx>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4254.09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CellMar>
            <w:top w:w="0" w:type="dxa"/>
            <w:left w:w="108" w:type="dxa"/>
            <w:bottom w:w="0" w:type="dxa"/>
            <w:right w:w="108" w:type="dxa"/>
          </w:tblCellMar>
        </w:tblPrEx>
        <w:tc>
          <w:tcPr>
            <w:shd w:val="clear" w:color="auto" w:fill="E6E6E6"/>
            <w:vAlign w:val="center"/>
          </w:tcPr>
          <w:p>
            <w:r>
              <w:t>渗透型硬地面积(㎡)</w:t>
            </w:r>
          </w:p>
        </w:tc>
        <w:tc>
          <w:tcPr>
            <w:vAlign w:val="center"/>
          </w:tcPr>
          <w:p>
            <w:r>
              <w:t>6627.49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0.80</w:t>
            </w:r>
          </w:p>
        </w:tc>
      </w:tr>
      <w:tr>
        <w:tblPrEx>
          <w:tblCellMar>
            <w:top w:w="0" w:type="dxa"/>
            <w:left w:w="108" w:type="dxa"/>
            <w:bottom w:w="0" w:type="dxa"/>
            <w:right w:w="108" w:type="dxa"/>
          </w:tblCellMar>
        </w:tblPrEx>
        <w:tc>
          <w:tcPr>
            <w:shd w:val="clear" w:color="auto" w:fill="E6E6E6"/>
            <w:vAlign w:val="center"/>
          </w:tcPr>
          <w:p>
            <w:r>
              <w:t>地面粗糙系数</w:t>
            </w:r>
          </w:p>
        </w:tc>
        <w:tc>
          <w:tcPr>
            <w:vAlign w:val="center"/>
          </w:tcPr>
          <w:p>
            <w:r>
              <w:t>0.22</w:t>
            </w:r>
          </w:p>
        </w:tc>
      </w:tr>
      <w:tr>
        <w:tblPrEx>
          <w:tblCellMar>
            <w:top w:w="0" w:type="dxa"/>
            <w:left w:w="108" w:type="dxa"/>
            <w:bottom w:w="0" w:type="dxa"/>
            <w:right w:w="108" w:type="dxa"/>
          </w:tblCellMar>
        </w:tblPrEx>
        <w:tc>
          <w:tcPr>
            <w:shd w:val="clear" w:color="auto" w:fill="E6E6E6"/>
            <w:vAlign w:val="center"/>
          </w:tcPr>
          <w:p>
            <w:r>
              <w:t>平均迎风面积比</w:t>
            </w:r>
          </w:p>
        </w:tc>
        <w:tc>
          <w:tcPr>
            <w:vAlign w:val="center"/>
          </w:tcPr>
          <w:p>
            <w:r>
              <w:t>0.92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6</w:t>
            </w:r>
          </w:p>
        </w:tc>
      </w:tr>
      <w:tr>
        <w:tblPrEx>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4" w:name="住区指标概览"/>
      <w:bookmarkEnd w:id="34"/>
    </w:p>
    <w:p>
      <w:pPr>
        <w:pStyle w:val="2"/>
      </w:pPr>
      <w:bookmarkStart w:id="35" w:name="_Toc16494776"/>
      <w:r>
        <w:rPr>
          <w:rFonts w:hint="eastAsia"/>
        </w:rPr>
        <w:t>规定性设计指标</w:t>
      </w:r>
      <w:bookmarkEnd w:id="35"/>
    </w:p>
    <w:p>
      <w:pPr>
        <w:pStyle w:val="4"/>
      </w:pPr>
      <w:bookmarkStart w:id="36" w:name="_Toc16494777"/>
      <w:r>
        <w:rPr>
          <w:rFonts w:hint="eastAsia"/>
        </w:rPr>
        <w:t>平均迎风面积比</w:t>
      </w:r>
      <w:bookmarkEnd w:id="3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1号学生宿舍</w:t>
            </w:r>
          </w:p>
        </w:tc>
        <w:tc>
          <w:tcPr>
            <w:vAlign w:val="center"/>
          </w:tcPr>
          <w:p>
            <w:r>
              <w:t>2323.37</w:t>
            </w:r>
          </w:p>
        </w:tc>
        <w:tc>
          <w:tcPr>
            <w:vAlign w:val="center"/>
          </w:tcPr>
          <w:p>
            <w:r>
              <w:t>2651.33</w:t>
            </w:r>
          </w:p>
        </w:tc>
        <w:tc>
          <w:tcPr>
            <w:vAlign w:val="center"/>
          </w:tcPr>
          <w:p>
            <w:r>
              <w:t>110.00</w:t>
            </w:r>
          </w:p>
        </w:tc>
        <w:tc>
          <w:tcPr>
            <w:vAlign w:val="center"/>
          </w:tcPr>
          <w:p>
            <w:r>
              <w:t>0.8763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2号学生公寓</w:t>
            </w:r>
          </w:p>
        </w:tc>
        <w:tc>
          <w:tcPr>
            <w:vAlign w:val="center"/>
          </w:tcPr>
          <w:p>
            <w:r>
              <w:t>2093.39</w:t>
            </w:r>
          </w:p>
        </w:tc>
        <w:tc>
          <w:tcPr>
            <w:vAlign w:val="center"/>
          </w:tcPr>
          <w:p>
            <w:r>
              <w:t>2129.97</w:t>
            </w:r>
          </w:p>
        </w:tc>
        <w:tc>
          <w:tcPr>
            <w:vAlign w:val="center"/>
          </w:tcPr>
          <w:p>
            <w:r>
              <w:t>130.00</w:t>
            </w:r>
          </w:p>
        </w:tc>
        <w:tc>
          <w:tcPr>
            <w:vAlign w:val="center"/>
          </w:tcPr>
          <w:p>
            <w:r>
              <w:t>0.9828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图书馆</w:t>
            </w:r>
          </w:p>
        </w:tc>
        <w:tc>
          <w:tcPr>
            <w:vAlign w:val="center"/>
          </w:tcPr>
          <w:p>
            <w:r>
              <w:t>2384.84</w:t>
            </w:r>
          </w:p>
        </w:tc>
        <w:tc>
          <w:tcPr>
            <w:vAlign w:val="center"/>
          </w:tcPr>
          <w:p>
            <w:r>
              <w:t>2392.71</w:t>
            </w:r>
          </w:p>
        </w:tc>
        <w:tc>
          <w:tcPr>
            <w:vAlign w:val="center"/>
          </w:tcPr>
          <w:p>
            <w:r>
              <w:t>60.00</w:t>
            </w:r>
          </w:p>
        </w:tc>
        <w:tc>
          <w:tcPr>
            <w:vAlign w:val="center"/>
          </w:tcPr>
          <w:p>
            <w:r>
              <w:t>0.9967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图书馆1</w:t>
            </w:r>
          </w:p>
        </w:tc>
        <w:tc>
          <w:tcPr>
            <w:vAlign w:val="center"/>
          </w:tcPr>
          <w:p>
            <w:r>
              <w:t>490.09</w:t>
            </w:r>
          </w:p>
        </w:tc>
        <w:tc>
          <w:tcPr>
            <w:vAlign w:val="center"/>
          </w:tcPr>
          <w:p>
            <w:r>
              <w:t>495.14</w:t>
            </w:r>
          </w:p>
        </w:tc>
        <w:tc>
          <w:tcPr>
            <w:vAlign w:val="center"/>
          </w:tcPr>
          <w:p>
            <w:r>
              <w:t>130.00</w:t>
            </w:r>
          </w:p>
        </w:tc>
        <w:tc>
          <w:tcPr>
            <w:vAlign w:val="center"/>
          </w:tcPr>
          <w:p>
            <w:r>
              <w:t>0.9898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学生食堂</w:t>
            </w:r>
          </w:p>
        </w:tc>
        <w:tc>
          <w:tcPr>
            <w:vAlign w:val="center"/>
          </w:tcPr>
          <w:p>
            <w:r>
              <w:t>1244.87</w:t>
            </w:r>
          </w:p>
        </w:tc>
        <w:tc>
          <w:tcPr>
            <w:vAlign w:val="center"/>
          </w:tcPr>
          <w:p>
            <w:r>
              <w:t>1744.01</w:t>
            </w:r>
          </w:p>
        </w:tc>
        <w:tc>
          <w:tcPr>
            <w:vAlign w:val="center"/>
          </w:tcPr>
          <w:p>
            <w:r>
              <w:t>100.00</w:t>
            </w:r>
          </w:p>
        </w:tc>
        <w:tc>
          <w:tcPr>
            <w:vAlign w:val="center"/>
          </w:tcPr>
          <w:p>
            <w:r>
              <w:t>0.7138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机电大楼</w:t>
            </w:r>
          </w:p>
        </w:tc>
        <w:tc>
          <w:tcPr>
            <w:vAlign w:val="center"/>
          </w:tcPr>
          <w:p>
            <w:r>
              <w:t>2538.40</w:t>
            </w:r>
          </w:p>
        </w:tc>
        <w:tc>
          <w:tcPr>
            <w:vAlign w:val="center"/>
          </w:tcPr>
          <w:p>
            <w:r>
              <w:t>2605.54</w:t>
            </w:r>
          </w:p>
        </w:tc>
        <w:tc>
          <w:tcPr>
            <w:vAlign w:val="center"/>
          </w:tcPr>
          <w:p>
            <w:r>
              <w:t>40.00</w:t>
            </w:r>
          </w:p>
        </w:tc>
        <w:tc>
          <w:tcPr>
            <w:vAlign w:val="center"/>
          </w:tcPr>
          <w:p>
            <w:r>
              <w:t>0.9742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color w:val="FF0000"/>
              </w:rPr>
              <w:t>0.922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37" w:name="平均迎风面积比"/>
      <w:bookmarkEnd w:id="37"/>
    </w:p>
    <w:p>
      <w:pPr>
        <w:pStyle w:val="4"/>
      </w:pPr>
      <w:bookmarkStart w:id="38" w:name="_Toc16494778"/>
      <w:r>
        <w:rPr>
          <w:rFonts w:hint="eastAsia"/>
        </w:rPr>
        <w:t>活动场地遮阳覆盖率</w:t>
      </w:r>
      <w:bookmarkEnd w:id="3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0.0</w:t>
            </w:r>
          </w:p>
        </w:tc>
        <w:tc>
          <w:tcPr>
            <w:vAlign w:val="center"/>
          </w:tcPr>
          <w:p>
            <w:r>
              <w:t>3707.7</w:t>
            </w:r>
          </w:p>
        </w:tc>
        <w:tc>
          <w:tcPr>
            <w:vAlign w:val="center"/>
          </w:tcPr>
          <w:p>
            <w:r>
              <w:rPr>
                <w:color w:val="FF0000"/>
              </w:rPr>
              <w:t>0</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0.0</w:t>
            </w:r>
          </w:p>
        </w:tc>
        <w:tc>
          <w:tcPr>
            <w:vAlign w:val="center"/>
          </w:tcPr>
          <w:p>
            <w:r>
              <w:t>1040.0</w:t>
            </w:r>
          </w:p>
        </w:tc>
        <w:tc>
          <w:tcPr>
            <w:vAlign w:val="center"/>
          </w:tcPr>
          <w:p>
            <w:r>
              <w:rPr>
                <w:color w:val="FF0000"/>
              </w:rPr>
              <w:t>0</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停车场</w:t>
            </w:r>
          </w:p>
        </w:tc>
        <w:tc>
          <w:tcPr>
            <w:vAlign w:val="center"/>
          </w:tcPr>
          <w:p>
            <w:r>
              <w:t>0.0</w:t>
            </w:r>
          </w:p>
        </w:tc>
        <w:tc>
          <w:tcPr>
            <w:vAlign w:val="center"/>
          </w:tcPr>
          <w:p>
            <w:r>
              <w:t>1879.8</w:t>
            </w:r>
          </w:p>
        </w:tc>
        <w:tc>
          <w:tcPr>
            <w:vAlign w:val="center"/>
          </w:tcPr>
          <w:p>
            <w:r>
              <w:rPr>
                <w:color w:val="FF0000"/>
              </w:rPr>
              <w:t>0</w:t>
            </w:r>
          </w:p>
        </w:tc>
        <w:tc>
          <w:tcPr>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39" w:name="活动场地遮阳覆盖率"/>
      <w:bookmarkEnd w:id="39"/>
    </w:p>
    <w:p>
      <w:pPr>
        <w:pStyle w:val="4"/>
      </w:pPr>
      <w:bookmarkStart w:id="40" w:name="_Toc16494779"/>
      <w:r>
        <w:rPr>
          <w:rFonts w:hint="eastAsia"/>
        </w:rPr>
        <w:t>底层通风架空率</w:t>
      </w:r>
      <w:bookmarkEnd w:id="4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底层架空面积(㎡)</w:t>
            </w:r>
          </w:p>
        </w:tc>
        <w:tc>
          <w:tcPr>
            <w:shd w:val="clear" w:color="auto" w:fill="E6E6E6"/>
            <w:vAlign w:val="center"/>
          </w:tcPr>
          <w:p>
            <w:pPr>
              <w:jc w:val="center"/>
            </w:pPr>
            <w:r>
              <w:t>基底面积(㎡)</w:t>
            </w:r>
          </w:p>
        </w:tc>
        <w:tc>
          <w:tcPr>
            <w:shd w:val="clear" w:color="auto" w:fill="E6E6E6"/>
            <w:vAlign w:val="center"/>
          </w:tcPr>
          <w:p>
            <w:pPr>
              <w:jc w:val="center"/>
            </w:pPr>
            <w:r>
              <w:t>迎风面宽度(m)</w:t>
            </w:r>
          </w:p>
        </w:tc>
        <w:tc>
          <w:tcPr>
            <w:shd w:val="clear" w:color="auto" w:fill="E6E6E6"/>
            <w:vAlign w:val="center"/>
          </w:tcPr>
          <w:p>
            <w:pPr>
              <w:jc w:val="center"/>
            </w:pPr>
            <w:r>
              <w:t>底层通风架空率(%)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1号学生宿舍</w:t>
            </w:r>
          </w:p>
        </w:tc>
        <w:tc>
          <w:tcPr>
            <w:vAlign w:val="center"/>
          </w:tcPr>
          <w:p>
            <w:r>
              <w:t>0.0</w:t>
            </w:r>
          </w:p>
        </w:tc>
        <w:tc>
          <w:tcPr>
            <w:vAlign w:val="center"/>
          </w:tcPr>
          <w:p>
            <w:r>
              <w:t>1602.6</w:t>
            </w:r>
          </w:p>
        </w:tc>
        <w:tc>
          <w:tcPr>
            <w:vAlign w:val="center"/>
          </w:tcPr>
          <w:p>
            <w:r>
              <w:t>101.5</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2号学生公寓</w:t>
            </w:r>
          </w:p>
        </w:tc>
        <w:tc>
          <w:tcPr>
            <w:vAlign w:val="center"/>
          </w:tcPr>
          <w:p>
            <w:r>
              <w:t>0.0</w:t>
            </w:r>
          </w:p>
        </w:tc>
        <w:tc>
          <w:tcPr>
            <w:vAlign w:val="center"/>
          </w:tcPr>
          <w:p>
            <w:r>
              <w:t>1310.2</w:t>
            </w:r>
          </w:p>
        </w:tc>
        <w:tc>
          <w:tcPr>
            <w:vAlign w:val="center"/>
          </w:tcPr>
          <w:p>
            <w:r>
              <w:t>88.4</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图书馆</w:t>
            </w:r>
          </w:p>
        </w:tc>
        <w:tc>
          <w:tcPr>
            <w:vAlign w:val="center"/>
          </w:tcPr>
          <w:p>
            <w:r>
              <w:t>0.0</w:t>
            </w:r>
          </w:p>
        </w:tc>
        <w:tc>
          <w:tcPr>
            <w:vAlign w:val="center"/>
          </w:tcPr>
          <w:p>
            <w:r>
              <w:t>2392.0</w:t>
            </w:r>
          </w:p>
        </w:tc>
        <w:tc>
          <w:tcPr>
            <w:vAlign w:val="center"/>
          </w:tcPr>
          <w:p>
            <w:r>
              <w:t>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图书馆1</w:t>
            </w:r>
          </w:p>
        </w:tc>
        <w:tc>
          <w:tcPr>
            <w:vAlign w:val="center"/>
          </w:tcPr>
          <w:p>
            <w:r>
              <w:t>0.0</w:t>
            </w:r>
          </w:p>
        </w:tc>
        <w:tc>
          <w:tcPr>
            <w:vAlign w:val="center"/>
          </w:tcPr>
          <w:p>
            <w:r>
              <w:t>4914.9</w:t>
            </w:r>
          </w:p>
        </w:tc>
        <w:tc>
          <w:tcPr>
            <w:vAlign w:val="center"/>
          </w:tcPr>
          <w:p>
            <w:r>
              <w:t>109.9</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学生食堂</w:t>
            </w:r>
          </w:p>
        </w:tc>
        <w:tc>
          <w:tcPr>
            <w:vAlign w:val="center"/>
          </w:tcPr>
          <w:p>
            <w:r>
              <w:t>0.0</w:t>
            </w:r>
          </w:p>
        </w:tc>
        <w:tc>
          <w:tcPr>
            <w:vAlign w:val="center"/>
          </w:tcPr>
          <w:p>
            <w:r>
              <w:t>1918.1</w:t>
            </w:r>
          </w:p>
        </w:tc>
        <w:tc>
          <w:tcPr>
            <w:vAlign w:val="center"/>
          </w:tcPr>
          <w:p>
            <w:r>
              <w:t>53.4</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机电大楼</w:t>
            </w:r>
          </w:p>
        </w:tc>
        <w:tc>
          <w:tcPr>
            <w:vAlign w:val="center"/>
          </w:tcPr>
          <w:p>
            <w:r>
              <w:t>0.0</w:t>
            </w:r>
          </w:p>
        </w:tc>
        <w:tc>
          <w:tcPr>
            <w:vAlign w:val="center"/>
          </w:tcPr>
          <w:p>
            <w:r>
              <w:t>3411.5</w:t>
            </w:r>
          </w:p>
        </w:tc>
        <w:tc>
          <w:tcPr>
            <w:vAlign w:val="center"/>
          </w:tcPr>
          <w:p>
            <w:r>
              <w:t>82.5</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III、IV、V气候区，夏季主导风向迎风面积宽度超过80m时，底层通风架空率不应小于10%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3"/>
        <w:ind w:firstLine="420"/>
        <w:rPr>
          <w:lang w:val="en-US"/>
        </w:rPr>
      </w:pPr>
      <w:bookmarkStart w:id="41" w:name="底层通风架空率"/>
      <w:bookmarkEnd w:id="41"/>
    </w:p>
    <w:p>
      <w:pPr>
        <w:pStyle w:val="4"/>
      </w:pPr>
      <w:bookmarkStart w:id="42" w:name="_Toc16494780"/>
      <w:r>
        <w:rPr>
          <w:rFonts w:hint="eastAsia"/>
        </w:rPr>
        <w:t>绿化遮阳体叶面积指数</w:t>
      </w:r>
      <w:bookmarkEnd w:id="4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遮阳体类型</w:t>
            </w:r>
          </w:p>
        </w:tc>
        <w:tc>
          <w:tcPr>
            <w:shd w:val="clear" w:color="auto" w:fill="E6E6E6"/>
            <w:vAlign w:val="center"/>
          </w:tcPr>
          <w:p>
            <w:pPr>
              <w:jc w:val="center"/>
            </w:pPr>
            <w:r>
              <w:t>叶面积指数</w:t>
            </w:r>
          </w:p>
        </w:tc>
        <w:tc>
          <w:tcPr>
            <w:shd w:val="clear" w:color="auto" w:fill="E6E6E6"/>
            <w:vAlign w:val="center"/>
          </w:tcPr>
          <w:p>
            <w:pPr>
              <w:jc w:val="center"/>
            </w:pPr>
            <w:r>
              <w:t>面积(㎡)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乔木</w:t>
            </w:r>
          </w:p>
        </w:tc>
        <w:tc>
          <w:tcPr>
            <w:vAlign w:val="center"/>
          </w:tcPr>
          <w:p>
            <w:r>
              <w:t>LAI&gt;3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4254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爬藤棚架</w:t>
            </w:r>
          </w:p>
        </w:tc>
        <w:tc>
          <w:tcPr>
            <w:vAlign w:val="center"/>
          </w:tcPr>
          <w:p>
            <w:r>
              <w:t>LAI&gt;3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绿化遮阳体叶面积指数不应小于3.0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rPr>
                <w:color w:val="FF0000"/>
              </w:rPr>
              <w:t>不满足</w:t>
            </w:r>
          </w:p>
        </w:tc>
      </w:tr>
    </w:tbl>
    <w:p>
      <w:pPr>
        <w:pStyle w:val="3"/>
        <w:ind w:firstLine="420"/>
        <w:rPr>
          <w:lang w:val="en-US"/>
        </w:rPr>
      </w:pPr>
      <w:bookmarkStart w:id="43" w:name="绿化遮阳体叶面积指数"/>
      <w:bookmarkEnd w:id="43"/>
    </w:p>
    <w:p>
      <w:pPr>
        <w:pStyle w:val="4"/>
      </w:pPr>
      <w:bookmarkStart w:id="44" w:name="_Toc16494781"/>
      <w:r>
        <w:rPr>
          <w:rFonts w:hint="eastAsia"/>
        </w:rPr>
        <w:t>渗透蒸发指标</w:t>
      </w:r>
      <w:bookmarkEnd w:id="4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地面透水系数k(mm/s)</w:t>
            </w:r>
          </w:p>
        </w:tc>
        <w:tc>
          <w:tcPr>
            <w:shd w:val="clear" w:color="auto" w:fill="E6E6E6"/>
            <w:vAlign w:val="center"/>
          </w:tcPr>
          <w:p>
            <w:pPr>
              <w:jc w:val="center"/>
            </w:pPr>
            <w:r>
              <w:t>蒸发量m</w:t>
            </w:r>
            <w:r>
              <w:br w:type="textWrapping"/>
            </w:r>
            <w:r>
              <w:t>(kg/(㎡·d))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3708</w:t>
            </w:r>
          </w:p>
        </w:tc>
        <w:tc>
          <w:tcPr>
            <w:vAlign w:val="center"/>
          </w:tcPr>
          <w:p>
            <w:r>
              <w:t>0.559</w:t>
            </w:r>
          </w:p>
        </w:tc>
        <w:tc>
          <w:tcPr>
            <w:vAlign w:val="center"/>
          </w:tcPr>
          <w:p>
            <w:r>
              <w:t>3.00</w:t>
            </w:r>
          </w:p>
        </w:tc>
        <w:tc>
          <w:tcPr>
            <w:vAlign w:val="center"/>
          </w:tcPr>
          <w:p>
            <w:r>
              <w:t>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1040</w:t>
            </w:r>
          </w:p>
        </w:tc>
        <w:tc>
          <w:tcPr>
            <w:vAlign w:val="center"/>
          </w:tcPr>
          <w:p>
            <w:r>
              <w:t>0.157</w:t>
            </w:r>
          </w:p>
        </w:tc>
        <w:tc>
          <w:tcPr>
            <w:vAlign w:val="center"/>
          </w:tcPr>
          <w:p>
            <w:r>
              <w:t>0.00</w:t>
            </w:r>
          </w:p>
        </w:tc>
        <w:tc>
          <w:tcPr>
            <w:vAlign w:val="center"/>
          </w:tcPr>
          <w:p>
            <w:r>
              <w:t>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停车场</w:t>
            </w:r>
          </w:p>
        </w:tc>
        <w:tc>
          <w:tcPr>
            <w:vAlign w:val="center"/>
          </w:tcPr>
          <w:p>
            <w:r>
              <w:t>1880</w:t>
            </w:r>
          </w:p>
        </w:tc>
        <w:tc>
          <w:tcPr>
            <w:vAlign w:val="center"/>
          </w:tcPr>
          <w:p>
            <w:r>
              <w:t>0.284</w:t>
            </w:r>
          </w:p>
        </w:tc>
        <w:tc>
          <w:tcPr>
            <w:vAlign w:val="center"/>
          </w:tcPr>
          <w:p>
            <w:r>
              <w:t>1.10</w:t>
            </w:r>
          </w:p>
        </w:tc>
        <w:tc>
          <w:tcPr>
            <w:vAlign w:val="center"/>
          </w:tcPr>
          <w:p>
            <w:r>
              <w:t>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6627</w:t>
            </w:r>
          </w:p>
        </w:tc>
        <w:tc>
          <w:tcPr>
            <w:vAlign w:val="center"/>
          </w:tcPr>
          <w:p>
            <w:r>
              <w:t>1.0</w:t>
            </w:r>
          </w:p>
        </w:tc>
        <w:tc>
          <w:tcPr>
            <w:vAlign w:val="center"/>
          </w:tcPr>
          <w:p>
            <w:r>
              <w:t>1.99</w:t>
            </w:r>
          </w:p>
        </w:tc>
        <w:tc>
          <w:tcPr>
            <w:vAlign w:val="center"/>
          </w:tcPr>
          <w:p>
            <w:r>
              <w:t>1.32</w:t>
            </w:r>
          </w:p>
        </w:tc>
      </w:tr>
    </w:tbl>
    <w:p>
      <w:pPr>
        <w:pStyle w:val="3"/>
        <w:ind w:firstLine="420"/>
        <w:rPr>
          <w:lang w:val="en-US"/>
        </w:rPr>
      </w:pPr>
      <w:bookmarkStart w:id="45" w:name="渗透蒸发指标"/>
      <w:bookmarkEnd w:id="4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渗透面积比率(%)</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100</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100</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停车场</w:t>
            </w:r>
          </w:p>
        </w:tc>
        <w:tc>
          <w:tcPr>
            <w:vAlign w:val="center"/>
          </w:tcPr>
          <w:p>
            <w:r>
              <w:t>100</w:t>
            </w:r>
          </w:p>
        </w:tc>
        <w:tc>
          <w:tcPr>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pPr>
              <w:jc w:val="center"/>
            </w:pPr>
            <w:r>
              <w:t>渗透与蒸发指标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地面透水系数k(mm/s)</w:t>
            </w:r>
          </w:p>
        </w:tc>
        <w:tc>
          <w:tcPr>
            <w:vAlign w:val="center"/>
          </w:tcPr>
          <w:p>
            <w:r>
              <w:rPr>
                <w:color w:val="FF0000"/>
              </w:rPr>
              <w:t>1.99</w:t>
            </w:r>
          </w:p>
        </w:tc>
        <w:tc>
          <w:tcPr>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蒸发量m(kg/(㎡·d))</w:t>
            </w:r>
          </w:p>
        </w:tc>
        <w:tc>
          <w:tcPr>
            <w:vAlign w:val="center"/>
          </w:tcPr>
          <w:p>
            <w:r>
              <w:t>1.32</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渗透面积比率、透水系数及蒸发量不应低于标准规定限值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rPr>
                <w:color w:val="FF0000"/>
              </w:rPr>
              <w:t>不满足</w:t>
            </w:r>
          </w:p>
        </w:tc>
      </w:tr>
    </w:tbl>
    <w:p>
      <w:pPr>
        <w:pStyle w:val="3"/>
        <w:ind w:firstLine="420"/>
        <w:rPr>
          <w:lang w:val="en-US"/>
        </w:rPr>
      </w:pPr>
    </w:p>
    <w:p>
      <w:pPr>
        <w:pStyle w:val="4"/>
      </w:pPr>
      <w:bookmarkStart w:id="46" w:name="_Toc16494782"/>
      <w:r>
        <w:rPr>
          <w:rFonts w:hint="eastAsia"/>
        </w:rPr>
        <w:t>屋面绿化率</w:t>
      </w:r>
      <w:bookmarkEnd w:id="4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屋面轮廓面积(㎡)</w:t>
            </w:r>
          </w:p>
        </w:tc>
        <w:tc>
          <w:tcPr>
            <w:shd w:val="clear" w:color="auto" w:fill="E6E6E6"/>
            <w:vAlign w:val="center"/>
          </w:tcPr>
          <w:p>
            <w:pPr>
              <w:jc w:val="center"/>
            </w:pPr>
            <w:r>
              <w:t>屋顶绿化面积(㎡)</w:t>
            </w:r>
          </w:p>
        </w:tc>
        <w:tc>
          <w:tcPr>
            <w:shd w:val="clear" w:color="auto" w:fill="E6E6E6"/>
            <w:vAlign w:val="center"/>
          </w:tcPr>
          <w:p>
            <w:pPr>
              <w:jc w:val="center"/>
            </w:pPr>
            <w:r>
              <w:t>可绿化屋面</w:t>
            </w:r>
            <w:r>
              <w:br w:type="textWrapping"/>
            </w:r>
            <w:r>
              <w:t>面积(㎡)</w:t>
            </w:r>
          </w:p>
        </w:tc>
        <w:tc>
          <w:tcPr>
            <w:shd w:val="clear" w:color="auto" w:fill="E6E6E6"/>
            <w:vAlign w:val="center"/>
          </w:tcPr>
          <w:p>
            <w:pPr>
              <w:jc w:val="center"/>
            </w:pPr>
            <w:r>
              <w:t>屋面绿化率(%)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1号学生宿舍</w:t>
            </w:r>
          </w:p>
        </w:tc>
        <w:tc>
          <w:tcPr>
            <w:vAlign w:val="center"/>
          </w:tcPr>
          <w:p>
            <w:r>
              <w:t>1602.6</w:t>
            </w:r>
          </w:p>
        </w:tc>
        <w:tc>
          <w:tcPr>
            <w:vAlign w:val="center"/>
          </w:tcPr>
          <w:p>
            <w:r>
              <w:t>0.0</w:t>
            </w:r>
          </w:p>
        </w:tc>
        <w:tc>
          <w:tcPr>
            <w:vAlign w:val="center"/>
          </w:tcPr>
          <w:p>
            <w:r>
              <w:t>1602.6</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2号学生公寓</w:t>
            </w:r>
          </w:p>
        </w:tc>
        <w:tc>
          <w:tcPr>
            <w:vAlign w:val="center"/>
          </w:tcPr>
          <w:p>
            <w:r>
              <w:t>1310.2</w:t>
            </w:r>
          </w:p>
        </w:tc>
        <w:tc>
          <w:tcPr>
            <w:vAlign w:val="center"/>
          </w:tcPr>
          <w:p>
            <w:r>
              <w:t>0.0</w:t>
            </w:r>
          </w:p>
        </w:tc>
        <w:tc>
          <w:tcPr>
            <w:vAlign w:val="center"/>
          </w:tcPr>
          <w:p>
            <w:r>
              <w:t>1310.2</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图书馆</w:t>
            </w:r>
          </w:p>
        </w:tc>
        <w:tc>
          <w:tcPr>
            <w:vAlign w:val="center"/>
          </w:tcPr>
          <w:p>
            <w:r>
              <w:t>2392.0</w:t>
            </w:r>
          </w:p>
        </w:tc>
        <w:tc>
          <w:tcPr>
            <w:vAlign w:val="center"/>
          </w:tcPr>
          <w:p>
            <w:r>
              <w:t>0.0</w:t>
            </w:r>
          </w:p>
        </w:tc>
        <w:tc>
          <w:tcPr>
            <w:vAlign w:val="center"/>
          </w:tcPr>
          <w:p>
            <w:r>
              <w:t>2392.0</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图书馆1</w:t>
            </w:r>
          </w:p>
        </w:tc>
        <w:tc>
          <w:tcPr>
            <w:vAlign w:val="center"/>
          </w:tcPr>
          <w:p>
            <w:r>
              <w:t>4914.9</w:t>
            </w:r>
          </w:p>
        </w:tc>
        <w:tc>
          <w:tcPr>
            <w:vAlign w:val="center"/>
          </w:tcPr>
          <w:p>
            <w:r>
              <w:t>0.0</w:t>
            </w:r>
          </w:p>
        </w:tc>
        <w:tc>
          <w:tcPr>
            <w:vAlign w:val="center"/>
          </w:tcPr>
          <w:p>
            <w:r>
              <w:t>4914.9</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学生食堂</w:t>
            </w:r>
          </w:p>
        </w:tc>
        <w:tc>
          <w:tcPr>
            <w:vAlign w:val="center"/>
          </w:tcPr>
          <w:p>
            <w:r>
              <w:t>1918.1</w:t>
            </w:r>
          </w:p>
        </w:tc>
        <w:tc>
          <w:tcPr>
            <w:vAlign w:val="center"/>
          </w:tcPr>
          <w:p>
            <w:r>
              <w:t>0.0</w:t>
            </w:r>
          </w:p>
        </w:tc>
        <w:tc>
          <w:tcPr>
            <w:vAlign w:val="center"/>
          </w:tcPr>
          <w:p>
            <w:r>
              <w:t>1918.1</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机电大楼</w:t>
            </w:r>
          </w:p>
        </w:tc>
        <w:tc>
          <w:tcPr>
            <w:vAlign w:val="center"/>
          </w:tcPr>
          <w:p>
            <w:r>
              <w:t>3411.5</w:t>
            </w:r>
          </w:p>
        </w:tc>
        <w:tc>
          <w:tcPr>
            <w:vAlign w:val="center"/>
          </w:tcPr>
          <w:p>
            <w:r>
              <w:t>0.0</w:t>
            </w:r>
          </w:p>
        </w:tc>
        <w:tc>
          <w:tcPr>
            <w:vAlign w:val="center"/>
          </w:tcPr>
          <w:p>
            <w:r>
              <w:t>3411.5</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15549.2</w:t>
            </w:r>
          </w:p>
        </w:tc>
        <w:tc>
          <w:tcPr>
            <w:vAlign w:val="center"/>
          </w:tcPr>
          <w:p>
            <w:r>
              <w:t>0.0</w:t>
            </w:r>
          </w:p>
        </w:tc>
        <w:tc>
          <w:tcPr>
            <w:vAlign w:val="center"/>
          </w:tcPr>
          <w:p>
            <w:r>
              <w:t>15549.2</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建筑屋面的绿化面积不应低于可绿化屋面面积的50%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3"/>
        <w:ind w:firstLine="420"/>
        <w:rPr>
          <w:lang w:val="en-US"/>
        </w:rPr>
      </w:pPr>
      <w:bookmarkStart w:id="47" w:name="屋面绿化率"/>
      <w:bookmarkEnd w:id="47"/>
    </w:p>
    <w:p>
      <w:pPr>
        <w:pStyle w:val="2"/>
      </w:pPr>
      <w:bookmarkStart w:id="48" w:name="_Toc16494783"/>
      <w:r>
        <w:rPr>
          <w:rFonts w:hint="eastAsia"/>
        </w:rPr>
        <w:t>评价性设计</w:t>
      </w:r>
      <w:bookmarkEnd w:id="48"/>
    </w:p>
    <w:p>
      <w:pPr>
        <w:pStyle w:val="4"/>
      </w:pPr>
      <w:bookmarkStart w:id="49" w:name="_Toc16494784"/>
      <w:r>
        <w:rPr>
          <w:rFonts w:hint="eastAsia"/>
        </w:rPr>
        <w:t>平均热岛强度</w:t>
      </w:r>
      <w:bookmarkEnd w:id="4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28.2</w:t>
            </w:r>
          </w:p>
        </w:tc>
        <w:tc>
          <w:tcPr>
            <w:vAlign w:val="center"/>
          </w:tcPr>
          <w:p>
            <w:r>
              <w:t>2.2</w:t>
            </w:r>
          </w:p>
        </w:tc>
        <w:tc>
          <w:tcPr>
            <w:vAlign w:val="center"/>
          </w:tcPr>
          <w:p>
            <w:r>
              <w:t>3.8</w:t>
            </w:r>
          </w:p>
        </w:tc>
        <w:tc>
          <w:tcPr>
            <w:vAlign w:val="center"/>
          </w:tcPr>
          <w:p>
            <w:r>
              <w:t>0.5</w:t>
            </w:r>
          </w:p>
        </w:tc>
        <w:tc>
          <w:tcPr>
            <w:vAlign w:val="center"/>
          </w:tcPr>
          <w:p>
            <w:r>
              <w:t>26.1</w:t>
            </w:r>
          </w:p>
        </w:tc>
        <w:tc>
          <w:tcPr>
            <w:vAlign w:val="center"/>
          </w:tcPr>
          <w:p>
            <w:r>
              <w:t>28.2</w:t>
            </w:r>
          </w:p>
        </w:tc>
        <w:tc>
          <w:tcPr>
            <w:vAlign w:val="center"/>
          </w:tcPr>
          <w:p>
            <w:r>
              <w:t>-2.064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28.2</w:t>
            </w:r>
          </w:p>
        </w:tc>
        <w:tc>
          <w:tcPr>
            <w:vAlign w:val="center"/>
          </w:tcPr>
          <w:p>
            <w:r>
              <w:t>3.8</w:t>
            </w:r>
          </w:p>
        </w:tc>
        <w:tc>
          <w:tcPr>
            <w:vAlign w:val="center"/>
          </w:tcPr>
          <w:p>
            <w:r>
              <w:t>3.8</w:t>
            </w:r>
          </w:p>
        </w:tc>
        <w:tc>
          <w:tcPr>
            <w:vAlign w:val="center"/>
          </w:tcPr>
          <w:p>
            <w:r>
              <w:t>0.6</w:t>
            </w:r>
          </w:p>
        </w:tc>
        <w:tc>
          <w:tcPr>
            <w:vAlign w:val="center"/>
          </w:tcPr>
          <w:p>
            <w:r>
              <w:t>27.6</w:t>
            </w:r>
          </w:p>
        </w:tc>
        <w:tc>
          <w:tcPr>
            <w:vAlign w:val="center"/>
          </w:tcPr>
          <w:p>
            <w:r>
              <w:t>29.0</w:t>
            </w:r>
          </w:p>
        </w:tc>
        <w:tc>
          <w:tcPr>
            <w:vAlign w:val="center"/>
          </w:tcPr>
          <w:p>
            <w:r>
              <w:t>-1.366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28.2</w:t>
            </w:r>
          </w:p>
        </w:tc>
        <w:tc>
          <w:tcPr>
            <w:vAlign w:val="center"/>
          </w:tcPr>
          <w:p>
            <w:r>
              <w:t>5.8</w:t>
            </w:r>
          </w:p>
        </w:tc>
        <w:tc>
          <w:tcPr>
            <w:vAlign w:val="center"/>
          </w:tcPr>
          <w:p>
            <w:r>
              <w:t>3.8</w:t>
            </w:r>
          </w:p>
        </w:tc>
        <w:tc>
          <w:tcPr>
            <w:vAlign w:val="center"/>
          </w:tcPr>
          <w:p>
            <w:r>
              <w:t>0.7</w:t>
            </w:r>
          </w:p>
        </w:tc>
        <w:tc>
          <w:tcPr>
            <w:vAlign w:val="center"/>
          </w:tcPr>
          <w:p>
            <w:r>
              <w:t>29.5</w:t>
            </w:r>
          </w:p>
        </w:tc>
        <w:tc>
          <w:tcPr>
            <w:vAlign w:val="center"/>
          </w:tcPr>
          <w:p>
            <w:r>
              <w:t>29.7</w:t>
            </w:r>
          </w:p>
        </w:tc>
        <w:tc>
          <w:tcPr>
            <w:vAlign w:val="center"/>
          </w:tcPr>
          <w:p>
            <w:r>
              <w:t>-0.168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28.2</w:t>
            </w:r>
          </w:p>
        </w:tc>
        <w:tc>
          <w:tcPr>
            <w:vAlign w:val="center"/>
          </w:tcPr>
          <w:p>
            <w:r>
              <w:t>8.0</w:t>
            </w:r>
          </w:p>
        </w:tc>
        <w:tc>
          <w:tcPr>
            <w:vAlign w:val="center"/>
          </w:tcPr>
          <w:p>
            <w:r>
              <w:t>3.8</w:t>
            </w:r>
          </w:p>
        </w:tc>
        <w:tc>
          <w:tcPr>
            <w:vAlign w:val="center"/>
          </w:tcPr>
          <w:p>
            <w:r>
              <w:t>0.7</w:t>
            </w:r>
          </w:p>
        </w:tc>
        <w:tc>
          <w:tcPr>
            <w:vAlign w:val="center"/>
          </w:tcPr>
          <w:p>
            <w:r>
              <w:t>31.7</w:t>
            </w:r>
          </w:p>
        </w:tc>
        <w:tc>
          <w:tcPr>
            <w:vAlign w:val="center"/>
          </w:tcPr>
          <w:p>
            <w:r>
              <w:t>30.4</w:t>
            </w:r>
          </w:p>
        </w:tc>
        <w:tc>
          <w:tcPr>
            <w:vAlign w:val="center"/>
          </w:tcPr>
          <w:p>
            <w:r>
              <w:t>1.257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28.2</w:t>
            </w:r>
          </w:p>
        </w:tc>
        <w:tc>
          <w:tcPr>
            <w:vAlign w:val="center"/>
          </w:tcPr>
          <w:p>
            <w:r>
              <w:t>10.0</w:t>
            </w:r>
          </w:p>
        </w:tc>
        <w:tc>
          <w:tcPr>
            <w:vAlign w:val="center"/>
          </w:tcPr>
          <w:p>
            <w:r>
              <w:t>3.8</w:t>
            </w:r>
          </w:p>
        </w:tc>
        <w:tc>
          <w:tcPr>
            <w:vAlign w:val="center"/>
          </w:tcPr>
          <w:p>
            <w:r>
              <w:t>0.6</w:t>
            </w:r>
          </w:p>
        </w:tc>
        <w:tc>
          <w:tcPr>
            <w:vAlign w:val="center"/>
          </w:tcPr>
          <w:p>
            <w:r>
              <w:t>33.8</w:t>
            </w:r>
          </w:p>
        </w:tc>
        <w:tc>
          <w:tcPr>
            <w:vAlign w:val="center"/>
          </w:tcPr>
          <w:p>
            <w:r>
              <w:t>30.9</w:t>
            </w:r>
          </w:p>
        </w:tc>
        <w:tc>
          <w:tcPr>
            <w:vAlign w:val="center"/>
          </w:tcPr>
          <w:p>
            <w:r>
              <w:t>2.866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28.2</w:t>
            </w:r>
          </w:p>
        </w:tc>
        <w:tc>
          <w:tcPr>
            <w:vAlign w:val="center"/>
          </w:tcPr>
          <w:p>
            <w:r>
              <w:t>11.7</w:t>
            </w:r>
          </w:p>
        </w:tc>
        <w:tc>
          <w:tcPr>
            <w:vAlign w:val="center"/>
          </w:tcPr>
          <w:p>
            <w:r>
              <w:t>3.8</w:t>
            </w:r>
          </w:p>
        </w:tc>
        <w:tc>
          <w:tcPr>
            <w:vAlign w:val="center"/>
          </w:tcPr>
          <w:p>
            <w:r>
              <w:t>0.6</w:t>
            </w:r>
          </w:p>
        </w:tc>
        <w:tc>
          <w:tcPr>
            <w:vAlign w:val="center"/>
          </w:tcPr>
          <w:p>
            <w:r>
              <w:t>35.5</w:t>
            </w:r>
          </w:p>
        </w:tc>
        <w:tc>
          <w:tcPr>
            <w:vAlign w:val="center"/>
          </w:tcPr>
          <w:p>
            <w:r>
              <w:t>31.1</w:t>
            </w:r>
          </w:p>
        </w:tc>
        <w:tc>
          <w:tcPr>
            <w:vAlign w:val="center"/>
          </w:tcPr>
          <w:p>
            <w:r>
              <w:t>4.365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28.2</w:t>
            </w:r>
          </w:p>
        </w:tc>
        <w:tc>
          <w:tcPr>
            <w:vAlign w:val="center"/>
          </w:tcPr>
          <w:p>
            <w:r>
              <w:t>12.7</w:t>
            </w:r>
          </w:p>
        </w:tc>
        <w:tc>
          <w:tcPr>
            <w:vAlign w:val="center"/>
          </w:tcPr>
          <w:p>
            <w:r>
              <w:t>3.8</w:t>
            </w:r>
          </w:p>
        </w:tc>
        <w:tc>
          <w:tcPr>
            <w:vAlign w:val="center"/>
          </w:tcPr>
          <w:p>
            <w:r>
              <w:t>0.5</w:t>
            </w:r>
          </w:p>
        </w:tc>
        <w:tc>
          <w:tcPr>
            <w:vAlign w:val="center"/>
          </w:tcPr>
          <w:p>
            <w:r>
              <w:t>36.6</w:t>
            </w:r>
          </w:p>
        </w:tc>
        <w:tc>
          <w:tcPr>
            <w:vAlign w:val="center"/>
          </w:tcPr>
          <w:p>
            <w:r>
              <w:t>31.0</w:t>
            </w:r>
          </w:p>
        </w:tc>
        <w:tc>
          <w:tcPr>
            <w:vAlign w:val="center"/>
          </w:tcPr>
          <w:p>
            <w:r>
              <w:t>5.648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28.2</w:t>
            </w:r>
          </w:p>
        </w:tc>
        <w:tc>
          <w:tcPr>
            <w:vAlign w:val="center"/>
          </w:tcPr>
          <w:p>
            <w:r>
              <w:t>13.0</w:t>
            </w:r>
          </w:p>
        </w:tc>
        <w:tc>
          <w:tcPr>
            <w:vAlign w:val="center"/>
          </w:tcPr>
          <w:p>
            <w:r>
              <w:t>3.8</w:t>
            </w:r>
          </w:p>
        </w:tc>
        <w:tc>
          <w:tcPr>
            <w:vAlign w:val="center"/>
          </w:tcPr>
          <w:p>
            <w:r>
              <w:t>0.4</w:t>
            </w:r>
          </w:p>
        </w:tc>
        <w:tc>
          <w:tcPr>
            <w:vAlign w:val="center"/>
          </w:tcPr>
          <w:p>
            <w:r>
              <w:t>37.1</w:t>
            </w:r>
          </w:p>
        </w:tc>
        <w:tc>
          <w:tcPr>
            <w:vAlign w:val="center"/>
          </w:tcPr>
          <w:p>
            <w:r>
              <w:t>30.7</w:t>
            </w:r>
          </w:p>
        </w:tc>
        <w:tc>
          <w:tcPr>
            <w:vAlign w:val="center"/>
          </w:tcPr>
          <w:p>
            <w:r>
              <w:t>6.377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28.2</w:t>
            </w:r>
          </w:p>
        </w:tc>
        <w:tc>
          <w:tcPr>
            <w:vAlign w:val="center"/>
          </w:tcPr>
          <w:p>
            <w:r>
              <w:t>12.7</w:t>
            </w:r>
          </w:p>
        </w:tc>
        <w:tc>
          <w:tcPr>
            <w:vAlign w:val="center"/>
          </w:tcPr>
          <w:p>
            <w:r>
              <w:t>3.8</w:t>
            </w:r>
          </w:p>
        </w:tc>
        <w:tc>
          <w:tcPr>
            <w:vAlign w:val="center"/>
          </w:tcPr>
          <w:p>
            <w:r>
              <w:t>0.3</w:t>
            </w:r>
          </w:p>
        </w:tc>
        <w:tc>
          <w:tcPr>
            <w:vAlign w:val="center"/>
          </w:tcPr>
          <w:p>
            <w:r>
              <w:t>36.9</w:t>
            </w:r>
          </w:p>
        </w:tc>
        <w:tc>
          <w:tcPr>
            <w:vAlign w:val="center"/>
          </w:tcPr>
          <w:p>
            <w:r>
              <w:t>30.1</w:t>
            </w:r>
          </w:p>
        </w:tc>
        <w:tc>
          <w:tcPr>
            <w:vAlign w:val="center"/>
          </w:tcPr>
          <w:p>
            <w:r>
              <w:t>6.754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28.2</w:t>
            </w:r>
          </w:p>
        </w:tc>
        <w:tc>
          <w:tcPr>
            <w:vAlign w:val="center"/>
          </w:tcPr>
          <w:p>
            <w:r>
              <w:t>11.9</w:t>
            </w:r>
          </w:p>
        </w:tc>
        <w:tc>
          <w:tcPr>
            <w:vAlign w:val="center"/>
          </w:tcPr>
          <w:p>
            <w:r>
              <w:t>3.7</w:t>
            </w:r>
          </w:p>
        </w:tc>
        <w:tc>
          <w:tcPr>
            <w:vAlign w:val="center"/>
          </w:tcPr>
          <w:p>
            <w:r>
              <w:t>0.2</w:t>
            </w:r>
          </w:p>
        </w:tc>
        <w:tc>
          <w:tcPr>
            <w:vAlign w:val="center"/>
          </w:tcPr>
          <w:p>
            <w:r>
              <w:t>36.1</w:t>
            </w:r>
          </w:p>
        </w:tc>
        <w:tc>
          <w:tcPr>
            <w:vAlign w:val="center"/>
          </w:tcPr>
          <w:p>
            <w:r>
              <w:t>29.4</w:t>
            </w:r>
          </w:p>
        </w:tc>
        <w:tc>
          <w:tcPr>
            <w:vAlign w:val="center"/>
          </w:tcPr>
          <w:p>
            <w:r>
              <w:t>6.721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28.2</w:t>
            </w:r>
          </w:p>
        </w:tc>
        <w:tc>
          <w:tcPr>
            <w:vAlign w:val="center"/>
          </w:tcPr>
          <w:p>
            <w:r>
              <w:t>10.6</w:t>
            </w:r>
          </w:p>
        </w:tc>
        <w:tc>
          <w:tcPr>
            <w:vAlign w:val="center"/>
          </w:tcPr>
          <w:p>
            <w:r>
              <w:t>3.6</w:t>
            </w:r>
          </w:p>
        </w:tc>
        <w:tc>
          <w:tcPr>
            <w:vAlign w:val="center"/>
          </w:tcPr>
          <w:p>
            <w:r>
              <w:t>0.2</w:t>
            </w:r>
          </w:p>
        </w:tc>
        <w:tc>
          <w:tcPr>
            <w:vAlign w:val="center"/>
          </w:tcPr>
          <w:p>
            <w:r>
              <w:t>35.1</w:t>
            </w:r>
          </w:p>
        </w:tc>
        <w:tc>
          <w:tcPr>
            <w:vAlign w:val="center"/>
          </w:tcPr>
          <w:p>
            <w:r>
              <w:t>28.8</w:t>
            </w:r>
          </w:p>
        </w:tc>
        <w:tc>
          <w:tcPr>
            <w:vAlign w:val="center"/>
          </w:tcPr>
          <w:p>
            <w:r>
              <w:t>6.260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rPr>
                <w:color w:val="FF0000"/>
              </w:rPr>
              <w:t>3.33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rPr>
                <w:color w:val="FF0000"/>
              </w:rPr>
              <w:t>不满足</w:t>
            </w:r>
          </w:p>
        </w:tc>
      </w:tr>
    </w:tbl>
    <w:p>
      <w:pPr>
        <w:pStyle w:val="3"/>
        <w:ind w:firstLine="420"/>
        <w:rPr>
          <w:lang w:val="en-US"/>
        </w:rPr>
      </w:pPr>
      <w:bookmarkStart w:id="50" w:name="平均热岛强度"/>
      <w:bookmarkEnd w:id="50"/>
    </w:p>
    <w:p>
      <w:pPr>
        <w:pStyle w:val="3"/>
        <w:ind w:firstLine="0" w:firstLineChars="0"/>
        <w:rPr>
          <w:lang w:val="en-US"/>
        </w:rPr>
      </w:pPr>
      <w:bookmarkStart w:id="51" w:name="平均热岛强度图片"/>
      <w:bookmarkEnd w:id="51"/>
    </w:p>
    <w:p>
      <w:pPr>
        <w:pStyle w:val="4"/>
      </w:pPr>
      <w:bookmarkStart w:id="52" w:name="_Toc16494785"/>
      <w:r>
        <w:rPr>
          <w:rFonts w:hint="eastAsia"/>
        </w:rPr>
        <w:t>湿球黑球温度</w:t>
      </w:r>
      <w:bookmarkEnd w:id="5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26.1</w:t>
            </w:r>
          </w:p>
        </w:tc>
        <w:tc>
          <w:tcPr>
            <w:vAlign w:val="center"/>
          </w:tcPr>
          <w:p>
            <w:r>
              <w:t>0.8</w:t>
            </w:r>
          </w:p>
        </w:tc>
        <w:tc>
          <w:tcPr>
            <w:vAlign w:val="center"/>
          </w:tcPr>
          <w:p>
            <w:r>
              <w:t>179.9</w:t>
            </w:r>
          </w:p>
        </w:tc>
        <w:tc>
          <w:tcPr>
            <w:vAlign w:val="center"/>
          </w:tcPr>
          <w:p>
            <w:r>
              <w:t>35.3</w:t>
            </w:r>
          </w:p>
        </w:tc>
        <w:tc>
          <w:tcPr>
            <w:vAlign w:val="center"/>
          </w:tcPr>
          <w:p>
            <w:r>
              <w:t>24.8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27.6</w:t>
            </w:r>
          </w:p>
        </w:tc>
        <w:tc>
          <w:tcPr>
            <w:vAlign w:val="center"/>
          </w:tcPr>
          <w:p>
            <w:r>
              <w:t>0.8</w:t>
            </w:r>
          </w:p>
        </w:tc>
        <w:tc>
          <w:tcPr>
            <w:vAlign w:val="center"/>
          </w:tcPr>
          <w:p>
            <w:r>
              <w:t>260.8</w:t>
            </w:r>
          </w:p>
        </w:tc>
        <w:tc>
          <w:tcPr>
            <w:vAlign w:val="center"/>
          </w:tcPr>
          <w:p>
            <w:r>
              <w:t>51.2</w:t>
            </w:r>
          </w:p>
        </w:tc>
        <w:tc>
          <w:tcPr>
            <w:vAlign w:val="center"/>
          </w:tcPr>
          <w:p>
            <w:r>
              <w:t>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29.5</w:t>
            </w:r>
          </w:p>
        </w:tc>
        <w:tc>
          <w:tcPr>
            <w:vAlign w:val="center"/>
          </w:tcPr>
          <w:p>
            <w:r>
              <w:t>0.7</w:t>
            </w:r>
          </w:p>
        </w:tc>
        <w:tc>
          <w:tcPr>
            <w:vAlign w:val="center"/>
          </w:tcPr>
          <w:p>
            <w:r>
              <w:t>336.9</w:t>
            </w:r>
          </w:p>
        </w:tc>
        <w:tc>
          <w:tcPr>
            <w:vAlign w:val="center"/>
          </w:tcPr>
          <w:p>
            <w:r>
              <w:t>66.1</w:t>
            </w: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31.7</w:t>
            </w:r>
          </w:p>
        </w:tc>
        <w:tc>
          <w:tcPr>
            <w:vAlign w:val="center"/>
          </w:tcPr>
          <w:p>
            <w:r>
              <w:t>0.6</w:t>
            </w:r>
          </w:p>
        </w:tc>
        <w:tc>
          <w:tcPr>
            <w:vAlign w:val="center"/>
          </w:tcPr>
          <w:p>
            <w:r>
              <w:t>393.9</w:t>
            </w:r>
          </w:p>
        </w:tc>
        <w:tc>
          <w:tcPr>
            <w:vAlign w:val="center"/>
          </w:tcPr>
          <w:p>
            <w:r>
              <w:t>77.3</w:t>
            </w:r>
          </w:p>
        </w:tc>
        <w:tc>
          <w:tcPr>
            <w:vAlign w:val="center"/>
          </w:tcPr>
          <w:p>
            <w: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33.8</w:t>
            </w:r>
          </w:p>
        </w:tc>
        <w:tc>
          <w:tcPr>
            <w:vAlign w:val="center"/>
          </w:tcPr>
          <w:p>
            <w:r>
              <w:t>0.6</w:t>
            </w:r>
          </w:p>
        </w:tc>
        <w:tc>
          <w:tcPr>
            <w:vAlign w:val="center"/>
          </w:tcPr>
          <w:p>
            <w:r>
              <w:t>420.4</w:t>
            </w:r>
          </w:p>
        </w:tc>
        <w:tc>
          <w:tcPr>
            <w:vAlign w:val="center"/>
          </w:tcPr>
          <w:p>
            <w:r>
              <w:t>82.5</w:t>
            </w:r>
          </w:p>
        </w:tc>
        <w:tc>
          <w:tcPr>
            <w:vAlign w:val="center"/>
          </w:tcPr>
          <w:p>
            <w:r>
              <w:t>29.4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35.5</w:t>
            </w:r>
          </w:p>
        </w:tc>
        <w:tc>
          <w:tcPr>
            <w:vAlign w:val="center"/>
          </w:tcPr>
          <w:p>
            <w:r>
              <w:t>0.5</w:t>
            </w:r>
          </w:p>
        </w:tc>
        <w:tc>
          <w:tcPr>
            <w:vAlign w:val="center"/>
          </w:tcPr>
          <w:p>
            <w:r>
              <w:t>400.7</w:t>
            </w:r>
          </w:p>
        </w:tc>
        <w:tc>
          <w:tcPr>
            <w:vAlign w:val="center"/>
          </w:tcPr>
          <w:p>
            <w:r>
              <w:t>78.6</w:t>
            </w:r>
          </w:p>
        </w:tc>
        <w:tc>
          <w:tcPr>
            <w:vAlign w:val="center"/>
          </w:tcPr>
          <w:p>
            <w:r>
              <w:t>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36.6</w:t>
            </w:r>
          </w:p>
        </w:tc>
        <w:tc>
          <w:tcPr>
            <w:vAlign w:val="center"/>
          </w:tcPr>
          <w:p>
            <w:r>
              <w:t>0.5</w:t>
            </w:r>
          </w:p>
        </w:tc>
        <w:tc>
          <w:tcPr>
            <w:vAlign w:val="center"/>
          </w:tcPr>
          <w:p>
            <w:r>
              <w:t>344.9</w:t>
            </w:r>
          </w:p>
        </w:tc>
        <w:tc>
          <w:tcPr>
            <w:vAlign w:val="center"/>
          </w:tcPr>
          <w:p>
            <w:r>
              <w:t>67.7</w:t>
            </w:r>
          </w:p>
        </w:tc>
        <w:tc>
          <w:tcPr>
            <w:vAlign w:val="center"/>
          </w:tcPr>
          <w:p>
            <w:r>
              <w:t>31.1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37.1</w:t>
            </w:r>
          </w:p>
        </w:tc>
        <w:tc>
          <w:tcPr>
            <w:vAlign w:val="center"/>
          </w:tcPr>
          <w:p>
            <w:r>
              <w:t>0.5</w:t>
            </w:r>
          </w:p>
        </w:tc>
        <w:tc>
          <w:tcPr>
            <w:vAlign w:val="center"/>
          </w:tcPr>
          <w:p>
            <w:r>
              <w:t>268.3</w:t>
            </w:r>
          </w:p>
        </w:tc>
        <w:tc>
          <w:tcPr>
            <w:vAlign w:val="center"/>
          </w:tcPr>
          <w:p>
            <w:r>
              <w:t>52.6</w:t>
            </w:r>
          </w:p>
        </w:tc>
        <w:tc>
          <w:tcPr>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36.9</w:t>
            </w:r>
          </w:p>
        </w:tc>
        <w:tc>
          <w:tcPr>
            <w:vAlign w:val="center"/>
          </w:tcPr>
          <w:p>
            <w:r>
              <w:t>0.5</w:t>
            </w:r>
          </w:p>
        </w:tc>
        <w:tc>
          <w:tcPr>
            <w:vAlign w:val="center"/>
          </w:tcPr>
          <w:p>
            <w:r>
              <w:t>181.4</w:t>
            </w:r>
          </w:p>
        </w:tc>
        <w:tc>
          <w:tcPr>
            <w:vAlign w:val="center"/>
          </w:tcPr>
          <w:p>
            <w:r>
              <w:t>35.6</w:t>
            </w:r>
          </w:p>
        </w:tc>
        <w:tc>
          <w:tcPr>
            <w:vAlign w:val="center"/>
          </w:tcPr>
          <w:p>
            <w:r>
              <w:t>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36.1</w:t>
            </w:r>
          </w:p>
        </w:tc>
        <w:tc>
          <w:tcPr>
            <w:vAlign w:val="center"/>
          </w:tcPr>
          <w:p>
            <w:r>
              <w:t>0.5</w:t>
            </w:r>
          </w:p>
        </w:tc>
        <w:tc>
          <w:tcPr>
            <w:vAlign w:val="center"/>
          </w:tcPr>
          <w:p>
            <w:r>
              <w:t>100.3</w:t>
            </w:r>
          </w:p>
        </w:tc>
        <w:tc>
          <w:tcPr>
            <w:vAlign w:val="center"/>
          </w:tcPr>
          <w:p>
            <w:r>
              <w:t>19.7</w:t>
            </w:r>
          </w:p>
        </w:tc>
        <w:tc>
          <w:tcPr>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35.1</w:t>
            </w:r>
          </w:p>
        </w:tc>
        <w:tc>
          <w:tcPr>
            <w:vAlign w:val="center"/>
          </w:tcPr>
          <w:p>
            <w:r>
              <w:t>0.5</w:t>
            </w:r>
          </w:p>
        </w:tc>
        <w:tc>
          <w:tcPr>
            <w:vAlign w:val="center"/>
          </w:tcPr>
          <w:p>
            <w:r>
              <w:t>37.2</w:t>
            </w:r>
          </w:p>
        </w:tc>
        <w:tc>
          <w:tcPr>
            <w:vAlign w:val="center"/>
          </w:tcPr>
          <w:p>
            <w:r>
              <w:t>7.3</w:t>
            </w:r>
          </w:p>
        </w:tc>
        <w:tc>
          <w:tcPr>
            <w:vAlign w:val="center"/>
          </w:tcPr>
          <w:p>
            <w:r>
              <w:t>29.3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31.18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3" w:name="湿球黑球温度"/>
      <w:bookmarkEnd w:id="53"/>
    </w:p>
    <w:p>
      <w:pPr>
        <w:pStyle w:val="3"/>
        <w:ind w:firstLine="0" w:firstLineChars="0"/>
        <w:rPr>
          <w:lang w:val="en-US"/>
        </w:rPr>
      </w:pPr>
      <w:bookmarkStart w:id="54" w:name="湿球黑球温度图片"/>
      <w:bookmarkEnd w:id="54"/>
    </w:p>
    <w:p>
      <w:pPr>
        <w:pStyle w:val="2"/>
      </w:pPr>
      <w:bookmarkStart w:id="55" w:name="_Toc16494786"/>
      <w:r>
        <w:rPr>
          <w:rFonts w:hint="eastAsia"/>
        </w:rPr>
        <w:t>结论</w:t>
      </w:r>
      <w:bookmarkEnd w:id="5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b/>
              </w:rPr>
              <w:t>强条</w:t>
            </w:r>
          </w:p>
        </w:tc>
        <w:tc>
          <w:tcPr>
            <w:vAlign w:val="center"/>
          </w:tcPr>
          <w:p>
            <w:r>
              <w:rPr>
                <w:b/>
              </w:rPr>
              <w:t>平均迎风面积比</w:t>
            </w:r>
          </w:p>
        </w:tc>
        <w:tc>
          <w:tcPr>
            <w:vAlign w:val="center"/>
          </w:tcPr>
          <w:p>
            <w:r>
              <w:rPr>
                <w:b/>
                <w:color w:val="FF0000"/>
              </w:rPr>
              <w:t>不满足</w:t>
            </w:r>
          </w:p>
        </w:tc>
        <w:tc>
          <w:tcPr>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rPr>
                <w:b/>
              </w:rPr>
              <w:t>活动场地遮阳覆盖率</w:t>
            </w:r>
          </w:p>
        </w:tc>
        <w:tc>
          <w:tcPr>
            <w:vAlign w:val="center"/>
          </w:tcPr>
          <w:p>
            <w:r>
              <w:rPr>
                <w:b/>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规定性设计</w:t>
            </w:r>
          </w:p>
        </w:tc>
        <w:tc>
          <w:tcPr>
            <w:vAlign w:val="center"/>
          </w:tcPr>
          <w:p>
            <w:r>
              <w:t>底层通风架空率</w:t>
            </w:r>
          </w:p>
        </w:tc>
        <w:tc>
          <w:tcPr>
            <w:vAlign w:val="center"/>
          </w:tcPr>
          <w:p>
            <w:r>
              <w:rPr>
                <w:color w:val="FF0000"/>
              </w:rPr>
              <w:t>不满足</w:t>
            </w:r>
          </w:p>
        </w:tc>
        <w:tc>
          <w:tcPr>
            <w:vMerge w:val="restart"/>
            <w:vAlign w:val="center"/>
          </w:tcPr>
          <w:p>
            <w:r>
              <w:t>不满足任意一条时，进行评价性设计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绿化遮阳体叶面积指数</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渗透蒸发指标</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屋面绿化率</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评价性设计</w:t>
            </w:r>
          </w:p>
        </w:tc>
        <w:tc>
          <w:tcPr>
            <w:vAlign w:val="center"/>
          </w:tcPr>
          <w:p>
            <w:r>
              <w:t>平均热岛强度</w:t>
            </w:r>
          </w:p>
        </w:tc>
        <w:tc>
          <w:tcPr>
            <w:vAlign w:val="center"/>
          </w:tcPr>
          <w:p>
            <w:r>
              <w:rPr>
                <w:color w:val="FF0000"/>
              </w:rPr>
              <w:t>不满足</w:t>
            </w:r>
          </w:p>
        </w:tc>
        <w:tc>
          <w:tcPr>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湿球黑球温度</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2"/>
            <w:vAlign w:val="center"/>
          </w:tcPr>
          <w:p>
            <w:r>
              <w:rPr>
                <w:b/>
                <w:color w:val="FF0000"/>
              </w:rPr>
              <w:t>不满足</w:t>
            </w:r>
          </w:p>
        </w:tc>
      </w:tr>
    </w:tbl>
    <w:p>
      <w:pPr>
        <w:pStyle w:val="3"/>
        <w:ind w:firstLine="420"/>
        <w:rPr>
          <w:lang w:val="en-US"/>
        </w:rPr>
      </w:pPr>
      <w:bookmarkStart w:id="56" w:name="结论"/>
      <w:bookmarkEnd w:id="56"/>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2D7152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住区热环境计算书.dotx</Template>
  <Company>ths</Company>
  <Pages>6</Pages>
  <Words>427</Words>
  <Characters>2438</Characters>
  <Lines>20</Lines>
  <Paragraphs>5</Paragraphs>
  <TotalTime>8</TotalTime>
  <ScaleCrop>false</ScaleCrop>
  <LinksUpToDate>false</LinksUpToDate>
  <CharactersWithSpaces>2860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2018-07-02T02:06:00Z</dcterms:created>
  <dc:creator>Jiangx</dc:creator>
  <cp:lastModifiedBy>孤独去旅行</cp:lastModifiedBy>
  <cp:lastPrinted>2411-12-31T16:00:00Z</cp:lastPrinted>
  <dcterms:modified xsi:type="dcterms:W3CDTF">2021-01-03T08:08:06Z</dcterms:modified>
  <dc:title>住区热环境设计报告书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