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20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T15093135536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"_Toc59944626"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_Toc59944626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"_Toc59944627"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_Toc59944627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"_Toc59944628"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_Toc59944628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"_Toc59944629" </w:instrText>
      </w:r>
      <w:r>
        <w:fldChar w:fldCharType="separate"/>
      </w:r>
      <w:r>
        <w:rPr>
          <w:rStyle w:val="26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_Toc59944629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"_Toc59944630" </w:instrText>
      </w:r>
      <w:r>
        <w:fldChar w:fldCharType="separate"/>
      </w:r>
      <w:r>
        <w:rPr>
          <w:rStyle w:val="26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_Toc59944630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"_Toc59944631"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_Toc59944631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"_Toc59944632"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_Toc59944632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"_Toc59944633"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_Toc59944633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"_Toc59944634"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_Toc59944634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"_Toc59944635"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_Toc59944635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"_Toc59944636" </w:instrText>
      </w:r>
      <w:r>
        <w:fldChar w:fldCharType="separate"/>
      </w:r>
      <w:r>
        <w:rPr>
          <w:rStyle w:val="26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_Toc59944636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"_Toc59944637" </w:instrText>
      </w:r>
      <w:r>
        <w:fldChar w:fldCharType="separate"/>
      </w:r>
      <w:r>
        <w:rPr>
          <w:rStyle w:val="26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_Toc59944637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"_Toc59944638" </w:instrText>
      </w:r>
      <w:r>
        <w:fldChar w:fldCharType="separate"/>
      </w:r>
      <w:r>
        <w:rPr>
          <w:rStyle w:val="26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_Toc59944638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"_Toc59944639" </w:instrText>
      </w:r>
      <w:r>
        <w:fldChar w:fldCharType="separate"/>
      </w:r>
      <w:r>
        <w:rPr>
          <w:rStyle w:val="26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_Toc59944639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"_Toc59944640" </w:instrText>
      </w:r>
      <w:r>
        <w:fldChar w:fldCharType="separate"/>
      </w:r>
      <w:r>
        <w:rPr>
          <w:rStyle w:val="26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_Toc59944640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"_Toc59944641" </w:instrText>
      </w:r>
      <w:r>
        <w:fldChar w:fldCharType="separate"/>
      </w:r>
      <w:r>
        <w:rPr>
          <w:rStyle w:val="26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_Toc59944641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"_Toc59944642" </w:instrText>
      </w:r>
      <w:r>
        <w:fldChar w:fldCharType="separate"/>
      </w:r>
      <w:r>
        <w:rPr>
          <w:rStyle w:val="26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_Toc59944642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1" w:name="_Toc59944626"/>
      <w:r>
        <w:rPr>
          <w:rFonts w:hint="eastAsia"/>
        </w:rPr>
        <w:t>住区概况</w:t>
      </w:r>
      <w:bookmarkEnd w:id="11"/>
    </w:p>
    <w:tbl>
      <w:tblPr>
        <w:tblStyle w:val="21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lang w:val="en-US"/>
        </w:rP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lang w:val="en-US"/>
        </w:rP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59944627"/>
      <w:bookmarkStart w:id="23" w:name="TitleFormat"/>
      <w:r>
        <w:rPr>
          <w:rFonts w:hint="eastAsia"/>
        </w:rPr>
        <w:t>设计依据</w:t>
      </w:r>
      <w:bookmarkEnd w:id="22"/>
    </w:p>
    <w:bookmarkEnd w:id="23"/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5" w:name="_Toc59944628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59944629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9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4"/>
          <w:rFonts w:ascii="Arial" w:hAnsi="Arial" w:cs="Arial"/>
          <w:color w:val="333333"/>
          <w:sz w:val="21"/>
          <w:szCs w:val="21"/>
        </w:rPr>
      </w:pPr>
      <w:r>
        <w:rPr>
          <w:rStyle w:val="24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4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4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9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9"/>
        <w:shd w:val="clear" w:color="auto" w:fill="FFFFFF"/>
        <w:spacing w:before="0" w:beforeAutospacing="0" w:after="0" w:afterAutospacing="0"/>
        <w:ind w:firstLine="420"/>
        <w:jc w:val="center"/>
        <w:rPr>
          <w:rStyle w:val="24"/>
          <w:rFonts w:ascii="Arial" w:hAnsi="Arial" w:cs="Arial"/>
          <w:color w:val="333333"/>
          <w:sz w:val="21"/>
          <w:szCs w:val="21"/>
        </w:rPr>
      </w:pPr>
      <w:r>
        <w:rPr>
          <w:rStyle w:val="24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2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9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59944630"/>
      <w:r>
        <w:rPr>
          <w:rFonts w:hint="eastAsia"/>
        </w:rPr>
        <w:t>规定性设计</w:t>
      </w:r>
      <w:bookmarkEnd w:id="27"/>
    </w:p>
    <w:p>
      <w:pPr>
        <w:pStyle w:val="1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9"/>
        <w:shd w:val="clear" w:color="auto" w:fill="FFFFFF"/>
        <w:spacing w:before="0" w:beforeAutospacing="0" w:after="0" w:afterAutospacing="0"/>
        <w:ind w:firstLine="420"/>
        <w:jc w:val="center"/>
        <w:rPr>
          <w:rStyle w:val="24"/>
          <w:rFonts w:ascii="Arial" w:hAnsi="Arial" w:cs="Arial"/>
          <w:color w:val="333333"/>
          <w:sz w:val="21"/>
          <w:szCs w:val="21"/>
        </w:rPr>
      </w:pPr>
      <w:r>
        <w:rPr>
          <w:rStyle w:val="24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4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4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4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1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59944631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59944632"/>
      <w:r>
        <w:rPr>
          <w:rFonts w:hint="eastAsia"/>
        </w:rPr>
        <w:t>典型气象日气象参数</w:t>
      </w:r>
      <w:bookmarkEnd w:id="29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11.66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10.60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110.24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84.80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228.96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169.60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249.10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484.42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307.40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567.10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363.58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616.92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384.78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611.62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382.66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575.58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368.88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509.86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325.42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401.74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252.28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276.66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180.20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143.10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98.58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20.14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16.96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205.29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133.12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59944633"/>
      <w:r>
        <w:rPr>
          <w:rFonts w:hint="eastAsia"/>
        </w:rPr>
        <w:t>渗透面夏季逐时蒸发量</w:t>
      </w:r>
      <w:bookmarkEnd w:id="31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59944634"/>
      <w:r>
        <w:rPr>
          <w:rFonts w:hint="eastAsia"/>
        </w:rPr>
        <w:t>住区指标概览</w:t>
      </w:r>
      <w:bookmarkEnd w:id="33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20395.23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r>
              <w:t>17441.61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2587.59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r>
              <w:t>2353.70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2780.03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1067.23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1003.20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2495.86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7946.73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0.92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r>
              <w:t>3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59944635"/>
      <w:r>
        <w:rPr>
          <w:rFonts w:hint="eastAsia"/>
        </w:rPr>
        <w:t>规定性设计指标</w:t>
      </w:r>
      <w:bookmarkEnd w:id="35"/>
    </w:p>
    <w:p>
      <w:pPr>
        <w:pStyle w:val="4"/>
      </w:pPr>
      <w:bookmarkStart w:id="36" w:name="_Toc59944636"/>
      <w:r>
        <w:rPr>
          <w:rFonts w:hint="eastAsia"/>
        </w:rPr>
        <w:t>平均迎风面积比</w:t>
      </w:r>
      <w:bookmarkEnd w:id="36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59944637"/>
      <w:r>
        <w:rPr>
          <w:rFonts w:hint="eastAsia"/>
        </w:rPr>
        <w:t>活动场地遮阳覆盖率</w:t>
      </w:r>
      <w:bookmarkEnd w:id="38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2587.6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12.5</w:t>
            </w:r>
          </w:p>
        </w:tc>
        <w:tc>
          <w:tcPr>
            <w:tcW w:w="1866" w:type="dxa"/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1866" w:type="dxa"/>
            <w:vAlign w:val="center"/>
          </w:tcPr>
          <w:p>
            <w:r>
              <w:t>0.1</w:t>
            </w:r>
          </w:p>
        </w:tc>
        <w:tc>
          <w:tcPr>
            <w:tcW w:w="1866" w:type="dxa"/>
            <w:vAlign w:val="center"/>
          </w:tcPr>
          <w:p>
            <w:r>
              <w:t>2163.9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16.2</w:t>
            </w:r>
          </w:p>
        </w:tc>
        <w:tc>
          <w:tcPr>
            <w:tcW w:w="1866" w:type="dxa"/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2353.7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27.3</w:t>
            </w:r>
          </w:p>
        </w:tc>
        <w:tc>
          <w:tcPr>
            <w:tcW w:w="1866" w:type="dxa"/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841.5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15.6</w:t>
            </w:r>
          </w:p>
        </w:tc>
        <w:tc>
          <w:tcPr>
            <w:tcW w:w="1866" w:type="dxa"/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4"/>
      </w:pPr>
      <w:bookmarkStart w:id="40" w:name="_Toc59944638"/>
      <w:r>
        <w:rPr>
          <w:rFonts w:hint="eastAsia"/>
        </w:rPr>
        <w:t>底层通风架空率</w:t>
      </w:r>
      <w:bookmarkEnd w:id="40"/>
      <w:bookmarkStart w:id="54" w:name="_GoBack"/>
      <w:bookmarkEnd w:id="54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81.6</w:t>
            </w:r>
          </w:p>
        </w:tc>
        <w:tc>
          <w:tcPr>
            <w:tcW w:w="1866" w:type="dxa"/>
            <w:vAlign w:val="center"/>
          </w:tcPr>
          <w:p>
            <w:r>
              <w:t>2922.4</w:t>
            </w:r>
          </w:p>
        </w:tc>
        <w:tc>
          <w:tcPr>
            <w:tcW w:w="1866" w:type="dxa"/>
            <w:vAlign w:val="center"/>
          </w:tcPr>
          <w:p>
            <w:r>
              <w:t>135.4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59944639"/>
      <w:r>
        <w:rPr>
          <w:rFonts w:hint="eastAsia"/>
        </w:rPr>
        <w:t>绿化遮阳体叶面积指数</w:t>
      </w:r>
      <w:bookmarkEnd w:id="42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LAI&gt;3</w:t>
            </w:r>
          </w:p>
        </w:tc>
        <w:tc>
          <w:tcPr>
            <w:tcW w:w="3110" w:type="dxa"/>
            <w:vAlign w:val="center"/>
          </w:tcPr>
          <w:p>
            <w:r>
              <w:t>1794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2.0&lt;LAI&lt;=3.0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1.0&lt;LAI&lt;=2.0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0.5&lt;LAI&lt;=1.0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LAI&lt;=0.5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LAI&gt;3</w:t>
            </w:r>
          </w:p>
        </w:tc>
        <w:tc>
          <w:tcPr>
            <w:tcW w:w="3110" w:type="dxa"/>
            <w:vAlign w:val="center"/>
          </w:tcPr>
          <w:p>
            <w:r>
              <w:t>702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2.0&lt;LAI&lt;=3.0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1.0&lt;LAI&lt;=2.0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0.5&lt;LAI&lt;=1.0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LAI&lt;=0.5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59944640"/>
      <w:r>
        <w:rPr>
          <w:rFonts w:hint="eastAsia"/>
        </w:rPr>
        <w:t>渗透蒸发指标</w:t>
      </w:r>
      <w:bookmarkEnd w:id="44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1866" w:type="dxa"/>
            <w:vAlign w:val="center"/>
          </w:tcPr>
          <w:p>
            <w:r>
              <w:t>2588</w:t>
            </w:r>
          </w:p>
        </w:tc>
        <w:tc>
          <w:tcPr>
            <w:tcW w:w="1866" w:type="dxa"/>
            <w:vAlign w:val="center"/>
          </w:tcPr>
          <w:p>
            <w:r>
              <w:t>0.326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1866" w:type="dxa"/>
            <w:vAlign w:val="center"/>
          </w:tcPr>
          <w:p>
            <w:r>
              <w:t>2164</w:t>
            </w:r>
          </w:p>
        </w:tc>
        <w:tc>
          <w:tcPr>
            <w:tcW w:w="1866" w:type="dxa"/>
            <w:vAlign w:val="center"/>
          </w:tcPr>
          <w:p>
            <w:r>
              <w:t>0.272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2354</w:t>
            </w:r>
          </w:p>
        </w:tc>
        <w:tc>
          <w:tcPr>
            <w:tcW w:w="1866" w:type="dxa"/>
            <w:vAlign w:val="center"/>
          </w:tcPr>
          <w:p>
            <w:r>
              <w:t>0.296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1866" w:type="dxa"/>
            <w:vAlign w:val="center"/>
          </w:tcPr>
          <w:p>
            <w:r>
              <w:t>841</w:t>
            </w:r>
          </w:p>
        </w:tc>
        <w:tc>
          <w:tcPr>
            <w:tcW w:w="1866" w:type="dxa"/>
            <w:vAlign w:val="center"/>
          </w:tcPr>
          <w:p>
            <w:r>
              <w:t>0.106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7947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3.00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1.69</w:t>
            </w:r>
          </w:p>
        </w:tc>
        <w:tc>
          <w:tcPr>
            <w:tcW w:w="3110" w:type="dxa"/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59944641"/>
      <w:r>
        <w:rPr>
          <w:rFonts w:hint="eastAsia"/>
        </w:rPr>
        <w:t>屋面绿化率</w:t>
      </w:r>
      <w:bookmarkEnd w:id="46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2922.4</w:t>
            </w:r>
          </w:p>
        </w:tc>
        <w:tc>
          <w:tcPr>
            <w:tcW w:w="1866" w:type="dxa"/>
            <w:vAlign w:val="center"/>
          </w:tcPr>
          <w:p>
            <w:r>
              <w:t>1945.1</w:t>
            </w:r>
          </w:p>
        </w:tc>
        <w:tc>
          <w:tcPr>
            <w:tcW w:w="1866" w:type="dxa"/>
            <w:vAlign w:val="center"/>
          </w:tcPr>
          <w:p>
            <w:r>
              <w:t>2922.4</w:t>
            </w:r>
          </w:p>
        </w:tc>
        <w:tc>
          <w:tcPr>
            <w:tcW w:w="1866" w:type="dxa"/>
            <w:vAlign w:val="center"/>
          </w:tcPr>
          <w:p>
            <w:r>
              <w:t>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2922.4</w:t>
            </w:r>
          </w:p>
        </w:tc>
        <w:tc>
          <w:tcPr>
            <w:tcW w:w="1866" w:type="dxa"/>
            <w:vAlign w:val="center"/>
          </w:tcPr>
          <w:p>
            <w:r>
              <w:t>1945.1</w:t>
            </w:r>
          </w:p>
        </w:tc>
        <w:tc>
          <w:tcPr>
            <w:tcW w:w="1866" w:type="dxa"/>
            <w:vAlign w:val="center"/>
          </w:tcPr>
          <w:p>
            <w:r>
              <w:t>2922.4</w:t>
            </w:r>
          </w:p>
        </w:tc>
        <w:tc>
          <w:tcPr>
            <w:tcW w:w="1866" w:type="dxa"/>
            <w:vAlign w:val="center"/>
          </w:tcPr>
          <w:p>
            <w:r>
              <w:t>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59944642"/>
      <w:r>
        <w:rPr>
          <w:rFonts w:hint="eastAsia"/>
        </w:rPr>
        <w:t>结论</w:t>
      </w:r>
      <w:bookmarkEnd w:id="48"/>
    </w:p>
    <w:tbl>
      <w:tblPr>
        <w:tblStyle w:val="21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r>
              <w:t>满足</w:t>
            </w:r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满足</w:t>
            </w:r>
          </w:p>
        </w:tc>
        <w:tc>
          <w:tcPr>
            <w:tcW w:w="1866" w:type="dxa"/>
            <w:vAlign w:val="center"/>
          </w:tcPr>
          <w:p>
            <w:r>
              <w:t>满足</w:t>
            </w:r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1" w:name="绿化遮阳体叶面积指数结论"/>
            <w: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2" w:name="渗透蒸发指标结论"/>
            <w: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3" w:name="屋面绿化率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52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39A1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06DC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1152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  <w:rsid w:val="7FD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8"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20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uiPriority w:val="0"/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Char"/>
    <w:basedOn w:val="23"/>
    <w:link w:val="20"/>
    <w:uiPriority w:val="0"/>
    <w:rPr>
      <w:rFonts w:asciiTheme="majorHAnsi" w:hAnsiTheme="majorHAnsi" w:cstheme="majorBidi"/>
      <w:b/>
      <w:bCs/>
      <w:sz w:val="32"/>
      <w:szCs w:val="32"/>
      <w:lang w:val="en-GB"/>
    </w:rPr>
  </w:style>
  <w:style w:type="character" w:customStyle="1" w:styleId="28">
    <w:name w:val="批注框文本 Char"/>
    <w:basedOn w:val="23"/>
    <w:link w:val="14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IMIN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Company>ths</Company>
  <Pages>10</Pages>
  <Words>832</Words>
  <Characters>4743</Characters>
  <Lines>39</Lines>
  <Paragraphs>11</Paragraphs>
  <TotalTime>1</TotalTime>
  <ScaleCrop>false</ScaleCrop>
  <LinksUpToDate>false</LinksUpToDate>
  <CharactersWithSpaces>5564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2020-12-26T22:56:00Z</dcterms:created>
  <dc:creator>cuiminghui</dc:creator>
  <cp:lastModifiedBy>崔明辉</cp:lastModifiedBy>
  <cp:lastPrinted>1900-12-31T16:00:00Z</cp:lastPrinted>
  <dcterms:modified xsi:type="dcterms:W3CDTF">2021-03-11T06:37:17Z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