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该项目位于山西吕梁学院离石师范分校艺术楼，于2000年开始设计并施工，02年竣工投入使用。总体规划符合防火安全要求。该建筑总建筑面积为：3830.1㎡。结构形式为砖混结构，此建筑为公共建筑。一共六层，是错层建筑，层高全为3.6m。外墙为370mm厚粘土实心砖，窗户为单框双玻层铝合金推拉窗，屋面防水层为三毡四油一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20"/>
    <w:rsid w:val="00012C20"/>
    <w:rsid w:val="00084638"/>
    <w:rsid w:val="000B47A5"/>
    <w:rsid w:val="006C790E"/>
    <w:rsid w:val="00714A47"/>
    <w:rsid w:val="0072467F"/>
    <w:rsid w:val="00863A93"/>
    <w:rsid w:val="009964EF"/>
    <w:rsid w:val="00E97AFA"/>
    <w:rsid w:val="00F05DB9"/>
    <w:rsid w:val="68BC652D"/>
    <w:rsid w:val="712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2021-01-06T14:55:00Z</dcterms:created>
  <dc:creator>winner</dc:creator>
  <cp:lastModifiedBy>孙艺鸣</cp:lastModifiedBy>
  <dcterms:modified xsi:type="dcterms:W3CDTF">2021-03-09T07:27:42Z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