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66" w:rsidRPr="009E1566" w:rsidRDefault="009E1566" w:rsidP="009E1566">
      <w:pPr>
        <w:keepNext/>
        <w:widowControl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 w:hint="eastAsia"/>
          <w:b/>
          <w:bCs/>
          <w:iCs/>
          <w:color w:val="000000"/>
          <w:kern w:val="0"/>
          <w:sz w:val="30"/>
          <w:szCs w:val="30"/>
        </w:rPr>
      </w:pPr>
      <w:bookmarkStart w:id="0" w:name="_Toc60755752"/>
      <w:r w:rsidRPr="009E1566">
        <w:rPr>
          <w:rFonts w:ascii="宋体" w:eastAsia="宋体" w:hAnsi="Times New Roman" w:cs="Arial" w:hint="eastAsia"/>
          <w:b/>
          <w:bCs/>
          <w:iCs/>
          <w:color w:val="000000"/>
          <w:kern w:val="0"/>
          <w:sz w:val="30"/>
          <w:szCs w:val="30"/>
        </w:rPr>
        <w:t>计算方法</w:t>
      </w:r>
      <w:bookmarkEnd w:id="0"/>
    </w:p>
    <w:p w:rsidR="009E1566" w:rsidRPr="009E1566" w:rsidRDefault="009E1566" w:rsidP="009E1566">
      <w:pPr>
        <w:rPr>
          <w:rFonts w:asciiTheme="minorEastAsia" w:hAnsiTheme="minorEastAsia" w:hint="eastAsia"/>
          <w:sz w:val="28"/>
          <w:szCs w:val="28"/>
        </w:rPr>
      </w:pPr>
      <w:r w:rsidRPr="009E1566">
        <w:rPr>
          <w:rFonts w:asciiTheme="minorEastAsia" w:hAnsiTheme="minorEastAsia" w:hint="eastAsia"/>
          <w:sz w:val="28"/>
          <w:szCs w:val="28"/>
        </w:rPr>
        <w:t>活动场地遮阴率 = （建筑日影遮阴范围外的绿化遮阴面积+建筑日影遮阴范围外的构筑物遮阴面积）/ （活动场地面积-建筑日影遮阴面积） × 100%</w:t>
      </w:r>
    </w:p>
    <w:p w:rsidR="009E1566" w:rsidRPr="009E1566" w:rsidRDefault="009E1566" w:rsidP="009E1566">
      <w:pPr>
        <w:rPr>
          <w:rFonts w:asciiTheme="minorEastAsia" w:hAnsiTheme="minorEastAsia" w:hint="eastAsia"/>
          <w:sz w:val="28"/>
          <w:szCs w:val="28"/>
        </w:rPr>
      </w:pPr>
      <w:r w:rsidRPr="009E1566">
        <w:rPr>
          <w:rFonts w:asciiTheme="minorEastAsia" w:hAnsiTheme="minorEastAsia" w:hint="eastAsia"/>
          <w:sz w:val="28"/>
          <w:szCs w:val="28"/>
        </w:rPr>
        <w:t>（1）绿化/构筑物遮阴面积：按照活动场地范围内绿化体树冠或棚架正投影面积计算，构筑物遮阴面</w:t>
      </w:r>
      <w:proofErr w:type="gramStart"/>
      <w:r w:rsidRPr="009E1566">
        <w:rPr>
          <w:rFonts w:asciiTheme="minorEastAsia" w:hAnsiTheme="minorEastAsia" w:hint="eastAsia"/>
          <w:sz w:val="28"/>
          <w:szCs w:val="28"/>
        </w:rPr>
        <w:t>积按照</w:t>
      </w:r>
      <w:proofErr w:type="gramEnd"/>
      <w:r w:rsidRPr="009E1566">
        <w:rPr>
          <w:rFonts w:asciiTheme="minorEastAsia" w:hAnsiTheme="minorEastAsia" w:hint="eastAsia"/>
          <w:sz w:val="28"/>
          <w:szCs w:val="28"/>
        </w:rPr>
        <w:t>构筑物正投影面积计算；</w:t>
      </w:r>
    </w:p>
    <w:p w:rsidR="00657CBC" w:rsidRDefault="009E1566" w:rsidP="009E1566">
      <w:pPr>
        <w:rPr>
          <w:rFonts w:asciiTheme="minorEastAsia" w:hAnsiTheme="minorEastAsia" w:hint="eastAsia"/>
          <w:sz w:val="28"/>
          <w:szCs w:val="28"/>
        </w:rPr>
      </w:pPr>
      <w:r w:rsidRPr="009E1566">
        <w:rPr>
          <w:rFonts w:asciiTheme="minorEastAsia" w:hAnsiTheme="minorEastAsia" w:hint="eastAsia"/>
          <w:sz w:val="28"/>
          <w:szCs w:val="28"/>
        </w:rPr>
        <w:t>（2）建筑日影遮阴面积：在日照基准年（2001）夏至日（6月21日）的8：00~16：00内，有4h及以上处于建筑阴影区域内的户外活动场地面积。</w:t>
      </w:r>
    </w:p>
    <w:p w:rsidR="009E1566" w:rsidRPr="009E1566" w:rsidRDefault="009E1566" w:rsidP="009E1566">
      <w:pPr>
        <w:keepNext/>
        <w:widowControl/>
        <w:tabs>
          <w:tab w:val="left" w:pos="432"/>
        </w:tabs>
        <w:kinsoku w:val="0"/>
        <w:spacing w:before="240" w:after="60"/>
        <w:ind w:left="432" w:hanging="432"/>
        <w:jc w:val="left"/>
        <w:outlineLvl w:val="0"/>
        <w:rPr>
          <w:rFonts w:ascii="Times New Roman" w:eastAsia="宋体" w:hAnsi="Times New Roman" w:cs="Times New Roman"/>
          <w:b/>
          <w:bCs/>
          <w:kern w:val="32"/>
          <w:sz w:val="30"/>
          <w:szCs w:val="30"/>
        </w:rPr>
      </w:pPr>
      <w:bookmarkStart w:id="1" w:name="_Toc60755756"/>
      <w:r w:rsidRPr="009E1566">
        <w:rPr>
          <w:rFonts w:ascii="Times New Roman" w:eastAsia="宋体" w:hAnsi="Times New Roman" w:cs="Times New Roman" w:hint="eastAsia"/>
          <w:b/>
          <w:bCs/>
          <w:kern w:val="32"/>
          <w:sz w:val="30"/>
          <w:szCs w:val="30"/>
        </w:rPr>
        <w:t>计算结果</w:t>
      </w:r>
      <w:bookmarkEnd w:id="1"/>
    </w:p>
    <w:p w:rsidR="009E1566" w:rsidRPr="009E1566" w:rsidRDefault="009E1566" w:rsidP="009E1566">
      <w:pPr>
        <w:keepNext/>
        <w:widowControl/>
        <w:numPr>
          <w:ilvl w:val="1"/>
          <w:numId w:val="0"/>
        </w:numPr>
        <w:tabs>
          <w:tab w:val="left" w:pos="578"/>
        </w:tabs>
        <w:kinsoku w:val="0"/>
        <w:spacing w:before="240" w:after="240"/>
        <w:ind w:left="578" w:hanging="578"/>
        <w:outlineLvl w:val="1"/>
        <w:rPr>
          <w:rFonts w:ascii="宋体" w:eastAsia="宋体" w:hAnsi="Times New Roman" w:cs="Arial"/>
          <w:b/>
          <w:bCs/>
          <w:iCs/>
          <w:color w:val="000000"/>
          <w:kern w:val="0"/>
          <w:sz w:val="24"/>
          <w:szCs w:val="24"/>
        </w:rPr>
      </w:pPr>
      <w:bookmarkStart w:id="2" w:name="_Toc60755757"/>
      <w:r w:rsidRPr="009E1566">
        <w:rPr>
          <w:rFonts w:ascii="宋体" w:eastAsia="宋体" w:hAnsi="Times New Roman" w:cs="Arial" w:hint="eastAsia"/>
          <w:b/>
          <w:bCs/>
          <w:iCs/>
          <w:color w:val="000000"/>
          <w:kern w:val="0"/>
          <w:sz w:val="24"/>
          <w:szCs w:val="24"/>
        </w:rPr>
        <w:t>活动场地遮阴率</w:t>
      </w:r>
      <w:bookmarkEnd w:id="2"/>
    </w:p>
    <w:p w:rsidR="009E1566" w:rsidRPr="009E1566" w:rsidRDefault="009E1566" w:rsidP="009E1566">
      <w:pPr>
        <w:rPr>
          <w:rFonts w:asciiTheme="minorEastAsia" w:hAnsiTheme="minorEastAsia" w:hint="eastAsia"/>
          <w:sz w:val="28"/>
          <w:szCs w:val="28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9E1566" w:rsidRPr="009E1566" w:rsidTr="009E1566">
        <w:tc>
          <w:tcPr>
            <w:tcW w:w="1171" w:type="dxa"/>
            <w:vMerge w:val="restart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活动场地</w:t>
            </w:r>
          </w:p>
        </w:tc>
        <w:tc>
          <w:tcPr>
            <w:tcW w:w="2332" w:type="dxa"/>
            <w:gridSpan w:val="2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绿化遮阴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构筑物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遮阴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日</w:t>
            </w:r>
            <w:bookmarkStart w:id="3" w:name="_GoBack"/>
            <w:bookmarkEnd w:id="3"/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影面积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阴影</w:t>
            </w:r>
            <w:proofErr w:type="gramStart"/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区外总遮阴面</w:t>
            </w:r>
            <w:proofErr w:type="gramEnd"/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积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阴影区外场地面积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br/>
              <w:t>(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㎡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)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遮阴率</w:t>
            </w: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(%)</w:t>
            </w:r>
          </w:p>
        </w:tc>
      </w:tr>
      <w:tr w:rsidR="009E1566" w:rsidRPr="009E1566" w:rsidTr="009E1566">
        <w:tc>
          <w:tcPr>
            <w:tcW w:w="1171" w:type="dxa"/>
            <w:vMerge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66" w:type="dxa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乔木面积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爬藤面积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亭廊面积</w:t>
            </w:r>
          </w:p>
        </w:tc>
        <w:tc>
          <w:tcPr>
            <w:tcW w:w="1166" w:type="dxa"/>
            <w:vMerge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66" w:type="dxa"/>
            <w:vMerge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66" w:type="dxa"/>
            <w:vMerge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166" w:type="dxa"/>
            <w:vMerge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9E1566" w:rsidRPr="009E1566" w:rsidTr="009E1566">
        <w:tc>
          <w:tcPr>
            <w:tcW w:w="1171" w:type="dxa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proofErr w:type="gramStart"/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游憩场</w:t>
            </w:r>
            <w:proofErr w:type="gramEnd"/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863.2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767.7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2641.3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29.1</w:t>
            </w:r>
          </w:p>
        </w:tc>
      </w:tr>
      <w:tr w:rsidR="009E1566" w:rsidRPr="009E1566" w:rsidTr="009E1566">
        <w:tc>
          <w:tcPr>
            <w:tcW w:w="1171" w:type="dxa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人行道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10027.0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3425.1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7192.9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15826.2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45.4</w:t>
            </w:r>
          </w:p>
        </w:tc>
      </w:tr>
      <w:tr w:rsidR="009E1566" w:rsidRPr="009E1566" w:rsidTr="009E1566">
        <w:tc>
          <w:tcPr>
            <w:tcW w:w="1171" w:type="dxa"/>
            <w:shd w:val="clear" w:color="auto" w:fill="E6E6E6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合计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10890.1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0.0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3425.1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7960.7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18467.5</w:t>
            </w:r>
          </w:p>
        </w:tc>
        <w:tc>
          <w:tcPr>
            <w:tcW w:w="1166" w:type="dxa"/>
            <w:vAlign w:val="center"/>
          </w:tcPr>
          <w:p w:rsidR="009E1566" w:rsidRPr="009E1566" w:rsidRDefault="009E1566" w:rsidP="009E15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</w:pPr>
            <w:r w:rsidRPr="009E1566">
              <w:rPr>
                <w:rFonts w:ascii="Times New Roman" w:eastAsia="宋体" w:hAnsi="Times New Roman" w:cs="Times New Roman"/>
                <w:kern w:val="0"/>
                <w:szCs w:val="20"/>
                <w:lang w:val="en-GB"/>
              </w:rPr>
              <w:t>43.1</w:t>
            </w:r>
          </w:p>
        </w:tc>
      </w:tr>
    </w:tbl>
    <w:p w:rsidR="009E1566" w:rsidRPr="009E1566" w:rsidRDefault="009E1566" w:rsidP="009E1566">
      <w:pPr>
        <w:rPr>
          <w:rFonts w:asciiTheme="minorEastAsia" w:hAnsiTheme="minorEastAsia"/>
          <w:sz w:val="28"/>
          <w:szCs w:val="28"/>
        </w:rPr>
      </w:pPr>
      <w:r w:rsidRPr="009E1566">
        <w:rPr>
          <w:rFonts w:ascii="Times New Roman" w:eastAsia="宋体" w:hAnsi="Times New Roman" w:cs="Times New Roman"/>
          <w:noProof/>
          <w:kern w:val="0"/>
          <w:szCs w:val="20"/>
        </w:rPr>
        <w:lastRenderedPageBreak/>
        <w:drawing>
          <wp:inline distT="0" distB="0" distL="0" distR="0" wp14:anchorId="1EDD85E0" wp14:editId="3365AE34">
            <wp:extent cx="5274310" cy="349256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566" w:rsidRPr="009E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65"/>
    <w:rsid w:val="00022F65"/>
    <w:rsid w:val="005A11B8"/>
    <w:rsid w:val="00657CBC"/>
    <w:rsid w:val="009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15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15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15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1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2021-03-12T12:16:00Z</dcterms:created>
  <dcterms:modified xsi:type="dcterms:W3CDTF">2021-03-12T12:16:00Z</dcterms:modified>
</cp:coreProperties>
</file>