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江西科技师范大学办公楼绿色建筑设计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南昌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2021年01月06日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743075" cy="17430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743258" cy="1743258"/>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bookmarkStart w:id="73"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_Toc13668 </w:instrText>
      </w:r>
      <w:r>
        <w:rPr>
          <w:rFonts w:ascii="宋体" w:hAnsi="宋体"/>
          <w:bCs w:val="0"/>
          <w:caps/>
        </w:rPr>
        <w:fldChar w:fldCharType="separate"/>
      </w:r>
      <w:r>
        <w:rPr>
          <w:rFonts w:hint="eastAsia"/>
        </w:rPr>
        <w:t>1 项目概况</w:t>
      </w:r>
      <w:r>
        <w:tab/>
      </w:r>
      <w:r>
        <w:fldChar w:fldCharType="begin"/>
      </w:r>
      <w:r>
        <w:instrText xml:space="preserve"> PAGEREF _Toc13668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_Toc4768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_Toc4768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_Toc2259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_Toc2259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_Toc15989 </w:instrText>
      </w:r>
      <w:r>
        <w:fldChar w:fldCharType="separate"/>
      </w:r>
      <w:r>
        <w:rPr>
          <w:rFonts w:hint="eastAsia"/>
        </w:rPr>
        <w:t>2 计算</w:t>
      </w:r>
      <w:r>
        <w:t>依据</w:t>
      </w:r>
      <w:r>
        <w:tab/>
      </w:r>
      <w:r>
        <w:fldChar w:fldCharType="begin"/>
      </w:r>
      <w:r>
        <w:instrText xml:space="preserve"> PAGEREF _Toc15989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_Toc20244 </w:instrText>
      </w:r>
      <w:r>
        <w:fldChar w:fldCharType="separate"/>
      </w:r>
      <w:r>
        <w:rPr>
          <w:rFonts w:hint="eastAsia"/>
        </w:rPr>
        <w:t>3 参考</w:t>
      </w:r>
      <w:r>
        <w:t>标准</w:t>
      </w:r>
      <w:r>
        <w:tab/>
      </w:r>
      <w:r>
        <w:fldChar w:fldCharType="begin"/>
      </w:r>
      <w:r>
        <w:instrText xml:space="preserve"> PAGEREF _Toc20244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_Toc23061 </w:instrText>
      </w:r>
      <w:r>
        <w:fldChar w:fldCharType="separate"/>
      </w:r>
      <w:r>
        <w:rPr>
          <w:rFonts w:hint="eastAsia"/>
        </w:rPr>
        <w:t>4 计算原理</w:t>
      </w:r>
      <w:r>
        <w:tab/>
      </w:r>
      <w:r>
        <w:fldChar w:fldCharType="begin"/>
      </w:r>
      <w:r>
        <w:instrText xml:space="preserve"> PAGEREF _Toc23061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_Toc20005 </w:instrText>
      </w:r>
      <w:r>
        <w:fldChar w:fldCharType="separate"/>
      </w:r>
      <w:r>
        <w:rPr>
          <w:rFonts w:hint="eastAsia"/>
          <w:lang w:val="en-GB"/>
        </w:rPr>
        <w:t xml:space="preserve">4.1 </w:t>
      </w:r>
      <w:r>
        <w:rPr>
          <w:rFonts w:hint="eastAsia"/>
        </w:rPr>
        <w:t>风场计算域</w:t>
      </w:r>
      <w:r>
        <w:tab/>
      </w:r>
      <w:r>
        <w:fldChar w:fldCharType="begin"/>
      </w:r>
      <w:r>
        <w:instrText xml:space="preserve"> PAGEREF _Toc20005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_Toc4013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_Toc4013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_Toc6939 </w:instrText>
      </w:r>
      <w:r>
        <w:fldChar w:fldCharType="separate"/>
      </w:r>
      <w:r>
        <w:rPr>
          <w:rFonts w:hint="eastAsia"/>
          <w:lang w:val="en-GB"/>
        </w:rPr>
        <w:t xml:space="preserve">4.2 </w:t>
      </w:r>
      <w:r>
        <w:rPr>
          <w:rFonts w:hint="eastAsia"/>
        </w:rPr>
        <w:t>网格划分</w:t>
      </w:r>
      <w:r>
        <w:tab/>
      </w:r>
      <w:r>
        <w:fldChar w:fldCharType="begin"/>
      </w:r>
      <w:r>
        <w:instrText xml:space="preserve"> PAGEREF _Toc6939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_Toc19759 </w:instrText>
      </w:r>
      <w:r>
        <w:fldChar w:fldCharType="separate"/>
      </w:r>
      <w:r>
        <w:rPr>
          <w:rFonts w:hint="eastAsia"/>
          <w:lang w:val="en-GB"/>
        </w:rPr>
        <w:t xml:space="preserve">4.3 </w:t>
      </w:r>
      <w:r>
        <w:rPr>
          <w:rFonts w:hint="eastAsia"/>
        </w:rPr>
        <w:t>边界条件</w:t>
      </w:r>
      <w:r>
        <w:tab/>
      </w:r>
      <w:r>
        <w:fldChar w:fldCharType="begin"/>
      </w:r>
      <w:r>
        <w:instrText xml:space="preserve"> PAGEREF _Toc19759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_Toc11405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_Toc11405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_Toc5527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_Toc5527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_Toc19771 </w:instrText>
      </w:r>
      <w:r>
        <w:fldChar w:fldCharType="separate"/>
      </w:r>
      <w:r>
        <w:rPr>
          <w:rFonts w:hint="eastAsia"/>
          <w:lang w:val="en-GB"/>
        </w:rPr>
        <w:t xml:space="preserve">4.4 </w:t>
      </w:r>
      <w:r>
        <w:rPr>
          <w:rFonts w:hint="eastAsia"/>
        </w:rPr>
        <w:t>湍流模型</w:t>
      </w:r>
      <w:r>
        <w:tab/>
      </w:r>
      <w:r>
        <w:fldChar w:fldCharType="begin"/>
      </w:r>
      <w:r>
        <w:instrText xml:space="preserve"> PAGEREF _Toc19771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_Toc30069 </w:instrText>
      </w:r>
      <w:r>
        <w:fldChar w:fldCharType="separate"/>
      </w:r>
      <w:r>
        <w:rPr>
          <w:rFonts w:hint="eastAsia"/>
          <w:lang w:val="en-GB"/>
        </w:rPr>
        <w:t xml:space="preserve">4.5 </w:t>
      </w:r>
      <w:r>
        <w:rPr>
          <w:rFonts w:hint="eastAsia"/>
        </w:rPr>
        <w:t>求解计算</w:t>
      </w:r>
      <w:r>
        <w:tab/>
      </w:r>
      <w:r>
        <w:fldChar w:fldCharType="begin"/>
      </w:r>
      <w:r>
        <w:instrText xml:space="preserve"> PAGEREF _Toc30069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_Toc22788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_Toc22788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_Toc15972 </w:instrText>
      </w:r>
      <w:r>
        <w:fldChar w:fldCharType="separate"/>
      </w:r>
      <w:r>
        <w:rPr>
          <w:rFonts w:hint="eastAsia"/>
        </w:rPr>
        <w:t>5 结果</w:t>
      </w:r>
      <w:r>
        <w:t>分析</w:t>
      </w:r>
      <w:r>
        <w:tab/>
      </w:r>
      <w:r>
        <w:fldChar w:fldCharType="begin"/>
      </w:r>
      <w:r>
        <w:instrText xml:space="preserve"> PAGEREF _Toc15972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_Toc28138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_Toc28138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_Toc20756 </w:instrText>
      </w:r>
      <w:r>
        <w:fldChar w:fldCharType="separate"/>
      </w:r>
      <w:r>
        <w:rPr>
          <w:rFonts w:hint="eastAsia"/>
          <w:lang w:val="en-GB"/>
        </w:rPr>
        <w:t xml:space="preserve">5.2 </w:t>
      </w:r>
      <w:r>
        <w:rPr>
          <w:rFonts w:hint="eastAsia"/>
        </w:rPr>
        <w:t>冬季工况</w:t>
      </w:r>
      <w:r>
        <w:tab/>
      </w:r>
      <w:r>
        <w:fldChar w:fldCharType="begin"/>
      </w:r>
      <w:r>
        <w:instrText xml:space="preserve"> PAGEREF _Toc20756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_Toc8276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_Toc8276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_Toc7814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_Toc7814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_Toc7567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_Toc7567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_Toc15177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_Toc15177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_Toc14988 </w:instrText>
      </w:r>
      <w:r>
        <w:fldChar w:fldCharType="separate"/>
      </w:r>
      <w:r>
        <w:rPr>
          <w:rFonts w:hint="eastAsia"/>
          <w:lang w:val="en-GB"/>
        </w:rPr>
        <w:t xml:space="preserve">5.3 </w:t>
      </w:r>
      <w:r>
        <w:rPr>
          <w:rFonts w:hint="eastAsia"/>
        </w:rPr>
        <w:t>结论</w:t>
      </w:r>
      <w:r>
        <w:tab/>
      </w:r>
      <w:r>
        <w:fldChar w:fldCharType="begin"/>
      </w:r>
      <w:r>
        <w:instrText xml:space="preserve"> PAGEREF _Toc14988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_Toc30883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_Toc30883 </w:instrText>
      </w:r>
      <w:r>
        <w:fldChar w:fldCharType="separate"/>
      </w:r>
      <w:r>
        <w:t>18</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13668"/>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4768"/>
      <w:bookmarkStart w:id="13" w:name="_Toc452108760"/>
      <w:r>
        <w:rPr>
          <w:rFonts w:hint="eastAsia"/>
        </w:rPr>
        <w:t>总</w:t>
      </w:r>
      <w:r>
        <w:t>平面图</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4" w:name="总平面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5"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6" w:name="_Toc2259"/>
      <w:bookmarkStart w:id="17" w:name="_Toc452108761"/>
      <w:r>
        <w:rPr>
          <w:rFonts w:hint="eastAsia"/>
        </w:rPr>
        <w:t>三</w:t>
      </w:r>
      <w:r>
        <w:t>维视图</w:t>
      </w:r>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8" w:name="三维视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9"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15989"/>
      <w:bookmarkStart w:id="21" w:name="TitleFormat"/>
      <w:bookmarkStart w:id="22" w:name="_Toc452108762"/>
      <w:r>
        <w:rPr>
          <w:rFonts w:hint="eastAsia"/>
        </w:rPr>
        <w:t>计算</w:t>
      </w:r>
      <w:r>
        <w:t>依据</w:t>
      </w:r>
      <w:bookmarkEnd w:id="20"/>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20244"/>
      <w:bookmarkStart w:id="24" w:name="_Toc452108763"/>
      <w:r>
        <w:rPr>
          <w:rFonts w:hint="eastAsia"/>
        </w:rPr>
        <w:t>参考</w:t>
      </w:r>
      <w:r>
        <w:t>标准</w:t>
      </w:r>
      <w:bookmarkEnd w:id="23"/>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5" w:name="_Toc452108764"/>
      <w:bookmarkStart w:id="26" w:name="_Toc451698935"/>
      <w:bookmarkStart w:id="27"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8" w:name="_Toc23061"/>
      <w:r>
        <w:rPr>
          <w:rFonts w:hint="eastAsia"/>
        </w:rPr>
        <w:t>计算原理</w:t>
      </w:r>
      <w:bookmarkEnd w:id="28"/>
    </w:p>
    <w:p>
      <w:pPr>
        <w:pStyle w:val="4"/>
        <w:numPr>
          <w:ilvl w:val="1"/>
          <w:numId w:val="3"/>
        </w:numPr>
      </w:pPr>
      <w:bookmarkStart w:id="29" w:name="_Toc20005"/>
      <w:bookmarkStart w:id="30" w:name="_Toc509844740"/>
      <w:bookmarkStart w:id="31" w:name="_Toc451698937"/>
      <w:bookmarkStart w:id="32" w:name="_Toc452108765"/>
      <w:r>
        <w:rPr>
          <w:rFonts w:hint="eastAsia"/>
        </w:rPr>
        <w:t>风场计算域</w:t>
      </w:r>
      <w:bookmarkEnd w:id="29"/>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3" w:name="_Toc4013"/>
      <w:r>
        <w:rPr>
          <w:rFonts w:hint="eastAsia"/>
        </w:rPr>
        <w:t>冬季工况风场计算域</w:t>
      </w:r>
      <w:bookmarkEnd w:id="33"/>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4" w:name="冬季风场Z尺寸"/>
            <w:r>
              <w:t>131</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5" w:name="计算域"/>
      <w:bookmarkEnd w:id="35"/>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6" w:name="_Toc509844741"/>
      <w:bookmarkStart w:id="37" w:name="_Toc6939"/>
      <w:r>
        <w:rPr>
          <w:rFonts w:hint="eastAsia"/>
        </w:rPr>
        <w:t>网格划分</w:t>
      </w:r>
      <w:bookmarkEnd w:id="36"/>
      <w:bookmarkEnd w:id="37"/>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8" w:name="OLE_LINK276"/>
      <w:bookmarkStart w:id="39" w:name="OLE_LINK277"/>
      <w:r>
        <w:rPr>
          <w:rFonts w:hint="eastAsia"/>
        </w:rPr>
        <w:t>1）普通网格：指除靠近地面和建筑以外的网格，通常不需要特别加密处理</w:t>
      </w:r>
    </w:p>
    <w:p>
      <w:pPr>
        <w:pStyle w:val="12"/>
        <w:numPr>
          <w:ilvl w:val="0"/>
          <w:numId w:val="4"/>
        </w:numPr>
        <w:spacing w:before="156"/>
      </w:pPr>
      <w:bookmarkStart w:id="40"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1181595</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0.16</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5</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bl>
    <w:p>
      <w:pPr>
        <w:rPr>
          <w:szCs w:val="21"/>
          <w:lang w:val="en-US"/>
        </w:rPr>
      </w:pPr>
    </w:p>
    <w:p>
      <w:pPr>
        <w:pStyle w:val="3"/>
        <w:ind w:firstLine="630" w:firstLineChars="300"/>
        <w:rPr>
          <w:rFonts w:ascii="黑体" w:hAnsi="黑体" w:eastAsia="黑体"/>
          <w:szCs w:val="20"/>
        </w:rPr>
      </w:pPr>
      <w:bookmarkStart w:id="41" w:name="网格划分信息"/>
      <w:bookmarkEnd w:id="41"/>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2" w:name="_Toc509844742"/>
      <w:bookmarkStart w:id="43" w:name="_Toc19759"/>
      <w:r>
        <w:rPr>
          <w:rFonts w:hint="eastAsia"/>
        </w:rPr>
        <w:t>边界条件</w:t>
      </w:r>
      <w:bookmarkEnd w:id="42"/>
      <w:bookmarkEnd w:id="43"/>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4" w:name="_Toc509844743"/>
      <w:bookmarkStart w:id="45" w:name="_Toc11405"/>
      <w:r>
        <w:rPr>
          <w:rFonts w:hint="eastAsia"/>
        </w:rPr>
        <w:t>入口与出口边界条件</w:t>
      </w:r>
      <w:bookmarkEnd w:id="44"/>
      <w:bookmarkEnd w:id="45"/>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6" w:name="地面粗糙度指数2"/>
      <w:r>
        <w:rPr>
          <w:rFonts w:hint="eastAsia"/>
          <w:lang w:val="en-US"/>
        </w:rPr>
        <w:t>0.28</w:t>
      </w:r>
      <w:bookmarkEnd w:id="46"/>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7" w:name="_Toc509844744"/>
      <w:bookmarkStart w:id="48" w:name="_Toc5527"/>
      <w:r>
        <w:rPr>
          <w:rFonts w:hint="eastAsia"/>
        </w:rPr>
        <w:t>壁面边界条件</w:t>
      </w:r>
      <w:bookmarkEnd w:id="47"/>
      <w:bookmarkEnd w:id="48"/>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9" w:name="_Toc19771"/>
      <w:r>
        <w:rPr>
          <w:rFonts w:hint="eastAsia"/>
        </w:rPr>
        <w:t>湍流模型</w:t>
      </w:r>
      <w:bookmarkEnd w:id="49"/>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50" w:name="_Toc451698939"/>
      <w:bookmarkStart w:id="51" w:name="_Toc452108767"/>
      <w:bookmarkStart w:id="52" w:name="_Toc30069"/>
      <w:r>
        <w:rPr>
          <w:rFonts w:hint="eastAsia"/>
        </w:rPr>
        <w:t>求解计算</w:t>
      </w:r>
      <w:bookmarkEnd w:id="50"/>
      <w:bookmarkEnd w:id="51"/>
      <w:bookmarkEnd w:id="52"/>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3"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3"/>
      <w:r>
        <w:rPr>
          <w:rFonts w:hint="eastAsia" w:ascii="黑体" w:hAnsi="黑体" w:eastAsia="黑体"/>
          <w:sz w:val="20"/>
          <w:szCs w:val="20"/>
        </w:rPr>
        <w:t xml:space="preserve"> </w:t>
      </w:r>
      <w:bookmarkStart w:id="54" w:name="_Ref225175618"/>
      <w:r>
        <w:rPr>
          <w:rFonts w:hint="eastAsia" w:ascii="黑体" w:hAnsi="黑体" w:eastAsia="黑体"/>
          <w:sz w:val="20"/>
          <w:szCs w:val="20"/>
        </w:rPr>
        <w:t>计算流体力学的控制方程</w:t>
      </w:r>
      <w:bookmarkEnd w:id="54"/>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5" w:name="_Toc509844747"/>
      <w:bookmarkStart w:id="56" w:name="_Toc22788"/>
      <w:r>
        <w:rPr>
          <w:rFonts w:hint="eastAsia"/>
        </w:rPr>
        <w:t>风速放大系数计算</w:t>
      </w:r>
      <w:bookmarkEnd w:id="55"/>
      <w:bookmarkEnd w:id="56"/>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7" w:name="地面粗糙度指数"/>
      <w:r>
        <w:rPr>
          <w:rFonts w:hint="eastAsia"/>
          <w:lang w:val="en-US"/>
        </w:rPr>
        <w:t>0.28</w:t>
      </w:r>
      <w:bookmarkEnd w:id="57"/>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8" w:name="_Toc452108768"/>
      <w:bookmarkStart w:id="59" w:name="_Toc15972"/>
      <w:r>
        <w:rPr>
          <w:rFonts w:hint="eastAsia"/>
        </w:rPr>
        <w:t>结果</w:t>
      </w:r>
      <w:r>
        <w:t>分析</w:t>
      </w:r>
      <w:bookmarkEnd w:id="58"/>
      <w:bookmarkEnd w:id="59"/>
    </w:p>
    <w:p>
      <w:pPr>
        <w:pStyle w:val="4"/>
        <w:rPr>
          <w:szCs w:val="21"/>
        </w:rPr>
      </w:pPr>
      <w:bookmarkStart w:id="60" w:name="_Toc28138"/>
      <w:r>
        <w:rPr>
          <w:rFonts w:hint="eastAsia"/>
          <w:szCs w:val="21"/>
        </w:rPr>
        <w:t>工况</w:t>
      </w:r>
      <w:r>
        <w:rPr>
          <w:szCs w:val="21"/>
        </w:rPr>
        <w:t>表</w:t>
      </w:r>
      <w:bookmarkEnd w:id="60"/>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1"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3.60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45.0</w:t>
            </w:r>
          </w:p>
        </w:tc>
      </w:tr>
      <w:bookmarkEnd w:id="61"/>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2" w:name="_Toc20756"/>
      <w:r>
        <w:rPr>
          <w:rFonts w:hint="eastAsia"/>
        </w:rPr>
        <w:t>冬季工况</w:t>
      </w:r>
      <w:bookmarkEnd w:id="62"/>
    </w:p>
    <w:p>
      <w:pPr>
        <w:ind w:firstLine="420" w:firstLineChars="200"/>
        <w:jc w:val="both"/>
      </w:pPr>
      <w:r>
        <w:rPr>
          <w:rFonts w:hint="eastAsia"/>
          <w:lang w:val="en-US"/>
        </w:rPr>
        <w:t>本项目冬季工况的入口边界风速为</w:t>
      </w:r>
      <w:r>
        <w:rPr>
          <w:rFonts w:hint="eastAsia" w:ascii="Calibri" w:hAnsi="Calibri"/>
          <w:szCs w:val="21"/>
        </w:rPr>
        <w:t>3.60</w:t>
      </w:r>
      <w:r>
        <w:rPr>
          <w:rFonts w:ascii="Calibri" w:hAnsi="Calibri"/>
          <w:szCs w:val="21"/>
        </w:rPr>
        <w:t>m/s</w:t>
      </w:r>
      <w:r>
        <w:rPr>
          <w:rFonts w:hint="eastAsia" w:ascii="Calibri" w:hAnsi="Calibri"/>
          <w:szCs w:val="21"/>
        </w:rPr>
        <w:t>，风向为</w:t>
      </w:r>
      <w:r>
        <w:rPr>
          <w:szCs w:val="21"/>
        </w:rPr>
        <w:t>NE</w:t>
      </w:r>
      <w:r>
        <w:rPr>
          <w:rFonts w:hint="eastAsia"/>
          <w:szCs w:val="21"/>
        </w:rPr>
        <w:t>。</w:t>
      </w:r>
    </w:p>
    <w:p>
      <w:pPr>
        <w:pStyle w:val="5"/>
      </w:pPr>
      <w:bookmarkStart w:id="63" w:name="_Toc8276"/>
      <w:r>
        <w:rPr>
          <w:rFonts w:hint="eastAsia"/>
        </w:rPr>
        <w:t>风速达标分析</w:t>
      </w:r>
      <w:bookmarkEnd w:id="63"/>
      <w:r>
        <w:rPr>
          <w:rFonts w:hint="eastAsia"/>
        </w:rPr>
        <w:t xml:space="preserve"> </w:t>
      </w:r>
    </w:p>
    <w:p>
      <w:pPr>
        <w:pStyle w:val="6"/>
        <w:numPr>
          <w:ilvl w:val="3"/>
          <w:numId w:val="1"/>
        </w:numPr>
      </w:pPr>
      <w:r>
        <w:t>人行区域风速达标分析</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r>
        <w:drawing>
          <wp:inline distT="0" distB="0" distL="0" distR="0">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671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t>建筑周围没有风速超限区域，可以采用该建筑布局。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4" w:name="_Toc7814"/>
      <w:r>
        <w:rPr>
          <w:rFonts w:hint="eastAsia"/>
        </w:rPr>
        <w:t>风速放大系数达标分析</w:t>
      </w:r>
      <w:bookmarkEnd w:id="64"/>
    </w:p>
    <w:p>
      <w:pPr>
        <w:pStyle w:val="6"/>
      </w:pPr>
      <w:r>
        <w:rPr>
          <w:rFonts w:hint="eastAsia"/>
        </w:rPr>
        <w:t>人行区域</w:t>
      </w:r>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r>
        <w:drawing>
          <wp:inline distT="0" distB="0" distL="0" distR="0">
            <wp:extent cx="566737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34290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t>建筑周围没有风速放大系数超限区域，可以采用该建筑布局。</w:t>
      </w:r>
    </w:p>
    <w:p>
      <w:pPr>
        <w:pStyle w:val="13"/>
        <w:jc w:val="center"/>
        <w:rPr>
          <w:lang w:val="en-US"/>
        </w:rPr>
      </w:pPr>
      <w:r>
        <w:drawing>
          <wp:inline distT="0" distB="0" distL="0" distR="0">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4</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5" w:name="_Toc7567"/>
      <w:r>
        <w:rPr>
          <w:rFonts w:hint="eastAsia" w:cs="宋体"/>
          <w:lang w:val="en-GB"/>
        </w:rPr>
        <w:t>人行区域</w:t>
      </w:r>
      <w:r>
        <w:rPr>
          <w:rFonts w:hint="eastAsia"/>
        </w:rPr>
        <w:t>冬季工况风速/风速放大系数达标判定</w:t>
      </w:r>
      <w:bookmarkEnd w:id="14"/>
      <w:bookmarkEnd w:id="65"/>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5"/>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8"/>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21"/>
          </w:p>
        </w:tc>
      </w:tr>
      <w:bookmarkEnd w:id="22"/>
      <w:bookmarkEnd w:id="24"/>
      <w:bookmarkEnd w:id="25"/>
      <w:bookmarkEnd w:id="26"/>
    </w:tbl>
    <w:p>
      <w:pPr>
        <w:pStyle w:val="5"/>
      </w:pPr>
      <w:bookmarkStart w:id="66" w:name="_Toc15177"/>
      <w:r>
        <w:rPr>
          <w:rFonts w:hint="eastAsia"/>
        </w:rPr>
        <w:t>建筑迎风面和背风面风压分析</w:t>
      </w:r>
      <w:bookmarkEnd w:id="27"/>
      <w:bookmarkEnd w:id="66"/>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30"/>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31"/>
    <w:p>
      <w:pPr>
        <w:pStyle w:val="13"/>
        <w:jc w:val="center"/>
        <w:rPr>
          <w:lang w:val="en-US"/>
        </w:rPr>
      </w:pPr>
      <w:r>
        <w:drawing>
          <wp:inline distT="0" distB="0" distL="0" distR="0">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2"/>
    <w:p>
      <w:pPr>
        <w:pStyle w:val="13"/>
        <w:jc w:val="center"/>
      </w:pPr>
      <w:r>
        <w:drawing>
          <wp:inline distT="0" distB="0" distL="0" distR="0">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bookmarkEnd w:id="38"/>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-2.25</w:t>
            </w:r>
          </w:p>
        </w:tc>
        <w:tc>
          <w:tcPr>
            <w:tcW w:w="1276" w:type="dxa"/>
            <w:shd w:val="clear" w:color="auto" w:fill="auto"/>
            <w:vAlign w:val="center"/>
          </w:tcPr>
          <w:p>
            <w:pPr>
              <w:jc w:val="center"/>
              <w:rPr>
                <w:lang w:val="en-US"/>
              </w:rPr>
            </w:pPr>
            <w:r>
              <w:rPr>
                <w:lang w:val="en-US"/>
              </w:rPr>
              <w:t>-2.35</w:t>
            </w:r>
          </w:p>
        </w:tc>
        <w:tc>
          <w:tcPr>
            <w:tcW w:w="1701" w:type="dxa"/>
            <w:shd w:val="clear" w:color="auto" w:fill="auto"/>
            <w:vAlign w:val="center"/>
          </w:tcPr>
          <w:p>
            <w:pPr>
              <w:jc w:val="center"/>
              <w:rPr>
                <w:lang w:val="en-US"/>
              </w:rPr>
            </w:pPr>
            <w:r>
              <w:rPr>
                <w:lang w:val="en-US"/>
              </w:rPr>
              <w:t>0.10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未命名(40DF1)</w:t>
            </w:r>
          </w:p>
        </w:tc>
        <w:tc>
          <w:tcPr>
            <w:tcW w:w="1276" w:type="dxa"/>
            <w:shd w:val="clear" w:color="auto" w:fill="auto"/>
            <w:vAlign w:val="center"/>
          </w:tcPr>
          <w:p>
            <w:pPr>
              <w:jc w:val="center"/>
              <w:rPr>
                <w:lang w:val="en-US"/>
              </w:rPr>
            </w:pPr>
            <w:r>
              <w:rPr>
                <w:lang w:val="en-US"/>
              </w:rPr>
              <w:t>-0.61</w:t>
            </w:r>
          </w:p>
        </w:tc>
        <w:tc>
          <w:tcPr>
            <w:tcW w:w="1276" w:type="dxa"/>
            <w:shd w:val="clear" w:color="auto" w:fill="auto"/>
            <w:vAlign w:val="center"/>
          </w:tcPr>
          <w:p>
            <w:pPr>
              <w:jc w:val="center"/>
              <w:rPr>
                <w:lang w:val="en-US"/>
              </w:rPr>
            </w:pPr>
            <w:r>
              <w:rPr>
                <w:lang w:val="en-US"/>
              </w:rPr>
              <w:t>-3.43</w:t>
            </w:r>
          </w:p>
        </w:tc>
        <w:tc>
          <w:tcPr>
            <w:tcW w:w="1701" w:type="dxa"/>
            <w:shd w:val="clear" w:color="auto" w:fill="auto"/>
            <w:vAlign w:val="center"/>
          </w:tcPr>
          <w:p>
            <w:pPr>
              <w:jc w:val="center"/>
              <w:rPr>
                <w:lang w:val="en-US"/>
              </w:rPr>
            </w:pPr>
            <w:r>
              <w:rPr>
                <w:lang w:val="en-US"/>
              </w:rPr>
              <w:t>2.82</w:t>
            </w:r>
          </w:p>
        </w:tc>
        <w:tc>
          <w:tcPr>
            <w:tcW w:w="973" w:type="dxa"/>
            <w:shd w:val="clear" w:color="auto" w:fill="auto"/>
            <w:vAlign w:val="center"/>
          </w:tcPr>
          <w:p>
            <w:pPr>
              <w:jc w:val="center"/>
              <w:rPr>
                <w:lang w:val="en-US"/>
              </w:rPr>
            </w:pPr>
            <w:r>
              <w:rPr>
                <w:lang w:val="en-US"/>
              </w:rPr>
              <w:t>是</w:t>
            </w:r>
          </w:p>
        </w:tc>
      </w:tr>
      <w:bookmarkEnd w:id="39"/>
      <w:bookmarkEnd w:id="40"/>
    </w:tbl>
    <w:p>
      <w:pPr>
        <w:rPr>
          <w:lang w:val="en-US"/>
        </w:rPr>
      </w:pPr>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67" w:name="冬季工况"/>
      <w:bookmarkEnd w:id="67"/>
      <w:r>
        <w:rPr>
          <w:rFonts w:hint="eastAsia"/>
          <w:lang w:val="en-US"/>
        </w:rPr>
        <w:t xml:space="preserve"> </w:t>
      </w:r>
    </w:p>
    <w:p>
      <w:pPr>
        <w:rPr>
          <w:lang w:val="en-US"/>
        </w:rPr>
      </w:pPr>
      <w:bookmarkStart w:id="68" w:name="其他工况"/>
      <w:bookmarkEnd w:id="68"/>
      <w:r>
        <w:rPr>
          <w:rFonts w:hint="eastAsia"/>
          <w:lang w:val="en-US"/>
        </w:rPr>
        <w:t xml:space="preserve"> </w:t>
      </w:r>
    </w:p>
    <w:p>
      <w:pPr>
        <w:pStyle w:val="4"/>
      </w:pPr>
      <w:bookmarkStart w:id="69" w:name="_Toc509844764"/>
      <w:bookmarkStart w:id="70" w:name="_Toc14988"/>
      <w:r>
        <w:rPr>
          <w:rFonts w:hint="eastAsia"/>
        </w:rPr>
        <w:t>结论</w:t>
      </w:r>
      <w:bookmarkEnd w:id="69"/>
      <w:bookmarkEnd w:id="70"/>
    </w:p>
    <w:p>
      <w:pPr>
        <w:pStyle w:val="5"/>
      </w:pPr>
      <w:bookmarkStart w:id="71" w:name="_Toc30883"/>
      <w:r>
        <w:rPr>
          <w:rFonts w:hint="eastAsia"/>
        </w:rPr>
        <w:t>冬季工况达标判断</w:t>
      </w:r>
      <w:bookmarkEnd w:id="0"/>
      <w:bookmarkEnd w:id="1"/>
      <w:bookmarkEnd w:id="7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没有出现</w:t>
            </w:r>
            <w:bookmarkEnd w:id="34"/>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bookmarkEnd w:id="8"/>
          </w:p>
        </w:tc>
        <w:tc>
          <w:tcPr>
            <w:tcW w:w="1416" w:type="dxa"/>
            <w:shd w:val="clear" w:color="auto" w:fill="auto"/>
            <w:vAlign w:val="center"/>
          </w:tcPr>
          <w:p>
            <w:pPr>
              <w:jc w:val="center"/>
              <w:rPr>
                <w:lang w:val="en-US"/>
              </w:rPr>
            </w:pPr>
            <w:r>
              <w:rPr>
                <w:rFonts w:hint="eastAsia"/>
                <w:lang w:val="en-US"/>
              </w:rPr>
              <w:t>2</w:t>
            </w:r>
            <w:bookmarkEnd w:id="10"/>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2" w:name="总得分"/>
      <w:r>
        <w:rPr>
          <w:rFonts w:hint="eastAsia"/>
          <w:lang w:val="en-US"/>
        </w:rPr>
        <w:t>5</w:t>
      </w:r>
      <w:bookmarkEnd w:id="72"/>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2452"/>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634A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0;&#22899;&#31070;~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tmp1.dotx</Template>
  <Pages>18</Pages>
  <Words>4837</Words>
  <Characters>5348</Characters>
  <Lines>259</Lines>
  <Paragraphs>273</Paragraphs>
  <TotalTime>0</TotalTime>
  <ScaleCrop>false</ScaleCrop>
  <LinksUpToDate>false</LinksUpToDate>
  <CharactersWithSpaces>5543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2021-01-06T11:42:00Z</dcterms:created>
  <dc:creator>笑大大</dc:creator>
  <cp:lastModifiedBy>笑大大</cp:lastModifiedBy>
  <dcterms:modified xsi:type="dcterms:W3CDTF">2021-01-06T11:43:22Z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