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hint="eastAsia"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沈阳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2021年03月09日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北京绿建软件有限公司</w:t>
            </w:r>
          </w:p>
          <w:p>
            <w:pPr>
              <w:spacing w:line="240" w:lineRule="auto"/>
              <w:jc w:val="both"/>
              <w:rPr>
                <w:rFonts w:ascii="宋体" w:hAnsi="宋体"/>
                <w:szCs w:val="18"/>
              </w:rPr>
            </w:pPr>
            <w:r>
              <w:rPr>
                <w:rFonts w:hint="eastAsia" w:ascii="宋体" w:hAnsi="宋体"/>
                <w:szCs w:val="18"/>
              </w:rPr>
              <w:t>深圳市斯维尔科技有限公司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_Toc16814 </w:instrText>
      </w:r>
      <w:r>
        <w:rPr>
          <w:rFonts w:ascii="宋体" w:hAnsi="宋体"/>
          <w:bCs w:val="0"/>
          <w:caps/>
        </w:rPr>
        <w:fldChar w:fldCharType="separate"/>
      </w:r>
      <w:r>
        <w:rPr>
          <w:rFonts w:hint="eastAsia"/>
        </w:rPr>
        <w:t>1 项目概况</w:t>
      </w:r>
      <w:r>
        <w:tab/>
      </w:r>
      <w:r>
        <w:fldChar w:fldCharType="begin"/>
      </w:r>
      <w:r>
        <w:instrText xml:space="preserve"> PAGEREF _Toc16814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_Toc884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_Toc884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_Toc11665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_Toc11665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_Toc409 </w:instrText>
      </w:r>
      <w:r>
        <w:fldChar w:fldCharType="separate"/>
      </w:r>
      <w:r>
        <w:rPr>
          <w:rFonts w:hint="eastAsia"/>
        </w:rPr>
        <w:t>2 计算</w:t>
      </w:r>
      <w:r>
        <w:t>依据</w:t>
      </w:r>
      <w:r>
        <w:tab/>
      </w:r>
      <w:r>
        <w:fldChar w:fldCharType="begin"/>
      </w:r>
      <w:r>
        <w:instrText xml:space="preserve"> PAGEREF _Toc409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_Toc27735 </w:instrText>
      </w:r>
      <w:r>
        <w:fldChar w:fldCharType="separate"/>
      </w:r>
      <w:r>
        <w:rPr>
          <w:rFonts w:hint="eastAsia"/>
        </w:rPr>
        <w:t>3 参考</w:t>
      </w:r>
      <w:r>
        <w:t>标准</w:t>
      </w:r>
      <w:r>
        <w:tab/>
      </w:r>
      <w:r>
        <w:fldChar w:fldCharType="begin"/>
      </w:r>
      <w:r>
        <w:instrText xml:space="preserve"> PAGEREF _Toc27735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_Toc7633 </w:instrText>
      </w:r>
      <w:r>
        <w:fldChar w:fldCharType="separate"/>
      </w:r>
      <w:r>
        <w:rPr>
          <w:rFonts w:hint="eastAsia"/>
        </w:rPr>
        <w:t>4 计算原理</w:t>
      </w:r>
      <w:r>
        <w:tab/>
      </w:r>
      <w:r>
        <w:fldChar w:fldCharType="begin"/>
      </w:r>
      <w:r>
        <w:instrText xml:space="preserve"> PAGEREF _Toc7633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_Toc438 </w:instrText>
      </w:r>
      <w:r>
        <w:fldChar w:fldCharType="separate"/>
      </w:r>
      <w:r>
        <w:rPr>
          <w:rFonts w:hint="eastAsia"/>
          <w:lang w:val="en-GB"/>
        </w:rPr>
        <w:t xml:space="preserve">4.1 </w:t>
      </w:r>
      <w:r>
        <w:rPr>
          <w:rFonts w:hint="eastAsia"/>
        </w:rPr>
        <w:t>风场计算域</w:t>
      </w:r>
      <w:r>
        <w:tab/>
      </w:r>
      <w:r>
        <w:fldChar w:fldCharType="begin"/>
      </w:r>
      <w:r>
        <w:instrText xml:space="preserve"> PAGEREF _Toc438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_Toc17600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_Toc17600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_Toc26724 </w:instrText>
      </w:r>
      <w:r>
        <w:fldChar w:fldCharType="separate"/>
      </w:r>
      <w:r>
        <w:rPr>
          <w:rFonts w:hint="eastAsia" w:eastAsia="宋体"/>
          <w:szCs w:val="24"/>
          <w:lang w:val="en-GB"/>
        </w:rPr>
        <w:t xml:space="preserve">4.1.2 </w:t>
      </w:r>
      <w:r>
        <w:rPr>
          <w:rFonts w:hint="eastAsia"/>
        </w:rPr>
        <w:t>过渡季工况风场计算域</w:t>
      </w:r>
      <w:r>
        <w:tab/>
      </w:r>
      <w:r>
        <w:fldChar w:fldCharType="begin"/>
      </w:r>
      <w:r>
        <w:instrText xml:space="preserve"> PAGEREF _Toc26724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_Toc19549 </w:instrText>
      </w:r>
      <w:r>
        <w:fldChar w:fldCharType="separate"/>
      </w:r>
      <w:r>
        <w:rPr>
          <w:rFonts w:hint="eastAsia"/>
          <w:lang w:val="en-GB"/>
        </w:rPr>
        <w:t xml:space="preserve">4.2 </w:t>
      </w:r>
      <w:r>
        <w:rPr>
          <w:rFonts w:hint="eastAsia"/>
        </w:rPr>
        <w:t>网格划分</w:t>
      </w:r>
      <w:r>
        <w:tab/>
      </w:r>
      <w:r>
        <w:fldChar w:fldCharType="begin"/>
      </w:r>
      <w:r>
        <w:instrText xml:space="preserve"> PAGEREF _Toc19549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_Toc13364 </w:instrText>
      </w:r>
      <w:r>
        <w:fldChar w:fldCharType="separate"/>
      </w:r>
      <w:r>
        <w:rPr>
          <w:rFonts w:hint="eastAsia"/>
          <w:lang w:val="en-GB"/>
        </w:rPr>
        <w:t xml:space="preserve">4.3 </w:t>
      </w:r>
      <w:r>
        <w:rPr>
          <w:rFonts w:hint="eastAsia"/>
        </w:rPr>
        <w:t>边界条件</w:t>
      </w:r>
      <w:r>
        <w:tab/>
      </w:r>
      <w:r>
        <w:fldChar w:fldCharType="begin"/>
      </w:r>
      <w:r>
        <w:instrText xml:space="preserve"> PAGEREF _Toc13364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_Toc30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_Toc5630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_Toc5630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_Toc7088 </w:instrText>
      </w:r>
      <w:r>
        <w:fldChar w:fldCharType="separate"/>
      </w:r>
      <w:r>
        <w:rPr>
          <w:rFonts w:hint="eastAsia"/>
          <w:lang w:val="en-GB"/>
        </w:rPr>
        <w:t xml:space="preserve">4.4 </w:t>
      </w:r>
      <w:r>
        <w:rPr>
          <w:rFonts w:hint="eastAsia"/>
        </w:rPr>
        <w:t>湍流模型</w:t>
      </w:r>
      <w:r>
        <w:tab/>
      </w:r>
      <w:r>
        <w:fldChar w:fldCharType="begin"/>
      </w:r>
      <w:r>
        <w:instrText xml:space="preserve"> PAGEREF _Toc7088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_Toc22548 </w:instrText>
      </w:r>
      <w:r>
        <w:fldChar w:fldCharType="separate"/>
      </w:r>
      <w:r>
        <w:rPr>
          <w:rFonts w:hint="eastAsia"/>
          <w:lang w:val="en-GB"/>
        </w:rPr>
        <w:t xml:space="preserve">4.5 </w:t>
      </w:r>
      <w:r>
        <w:rPr>
          <w:rFonts w:hint="eastAsia"/>
        </w:rPr>
        <w:t>求解计算</w:t>
      </w:r>
      <w:r>
        <w:tab/>
      </w:r>
      <w:r>
        <w:fldChar w:fldCharType="begin"/>
      </w:r>
      <w:r>
        <w:instrText xml:space="preserve"> PAGEREF _Toc22548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_Toc4139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_Toc4139 </w:instrText>
      </w:r>
      <w:r>
        <w:fldChar w:fldCharType="separate"/>
      </w:r>
      <w:r>
        <w:t>12</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_Toc4128 </w:instrText>
      </w:r>
      <w:r>
        <w:fldChar w:fldCharType="separate"/>
      </w:r>
      <w:r>
        <w:rPr>
          <w:rFonts w:hint="eastAsia"/>
        </w:rPr>
        <w:t>5 结果</w:t>
      </w:r>
      <w:r>
        <w:t>分析</w:t>
      </w:r>
      <w:r>
        <w:tab/>
      </w:r>
      <w:r>
        <w:fldChar w:fldCharType="begin"/>
      </w:r>
      <w:r>
        <w:instrText xml:space="preserve"> PAGEREF _Toc4128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_Toc23082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_Toc23082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_Toc252 </w:instrText>
      </w:r>
      <w:r>
        <w:fldChar w:fldCharType="separate"/>
      </w:r>
      <w:r>
        <w:rPr>
          <w:rFonts w:hint="eastAsia"/>
          <w:lang w:val="en-GB"/>
        </w:rPr>
        <w:t xml:space="preserve">5.2 </w:t>
      </w:r>
      <w:r>
        <w:rPr>
          <w:rFonts w:hint="eastAsia"/>
        </w:rPr>
        <w:t>冬季工况</w:t>
      </w:r>
      <w:r>
        <w:tab/>
      </w:r>
      <w:r>
        <w:fldChar w:fldCharType="begin"/>
      </w:r>
      <w:r>
        <w:instrText xml:space="preserve"> PAGEREF _Toc252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_Toc26530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_Toc26530 </w:instrText>
      </w:r>
      <w:r>
        <w:fldChar w:fldCharType="separate"/>
      </w:r>
      <w:r>
        <w:t>13</w:t>
      </w:r>
      <w:r>
        <w:fldChar w:fldCharType="end"/>
      </w:r>
      <w:r>
        <w:fldChar w:fldCharType="end"/>
      </w:r>
      <w:bookmarkStart w:id="80" w:name="_GoBack"/>
      <w:bookmarkEnd w:id="80"/>
    </w:p>
    <w:p>
      <w:pPr>
        <w:pStyle w:val="15"/>
        <w:tabs>
          <w:tab w:val="right" w:leader="dot" w:pos="9070"/>
          <w:tab w:val="clear" w:pos="900"/>
          <w:tab w:val="clear" w:pos="1260"/>
          <w:tab w:val="clear" w:pos="9360"/>
        </w:tabs>
      </w:pPr>
      <w:r>
        <w:fldChar w:fldCharType="begin"/>
      </w:r>
      <w:r>
        <w:instrText xml:space="preserve"> HYPERLINK \l _Toc9359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_Toc9359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_Toc21657 </w:instrText>
      </w:r>
      <w:r>
        <w:fldChar w:fldCharType="separate"/>
      </w:r>
      <w:r>
        <w:rPr>
          <w:rFonts w:hint="eastAsia" w:eastAsia="宋体"/>
          <w:szCs w:val="24"/>
          <w:lang w:val="en-GB"/>
        </w:rPr>
        <w:t xml:space="preserve">5.2.3 </w:t>
      </w:r>
      <w:r>
        <w:rPr>
          <w:rFonts w:hint="eastAsia" w:cs="宋体"/>
          <w:lang w:val="en-GB"/>
        </w:rPr>
        <w:t>人行区域</w:t>
      </w:r>
      <w:r>
        <w:rPr>
          <w:rFonts w:hint="eastAsia"/>
        </w:rPr>
        <w:t>冬季工况风速/风速放大系数达标判定</w:t>
      </w:r>
      <w:r>
        <w:tab/>
      </w:r>
      <w:r>
        <w:fldChar w:fldCharType="begin"/>
      </w:r>
      <w:r>
        <w:instrText xml:space="preserve"> PAGEREF _Toc21657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_Toc9145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_Toc9145 </w:instrText>
      </w:r>
      <w:r>
        <w:fldChar w:fldCharType="separate"/>
      </w:r>
      <w:r>
        <w:t>15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_Toc7570 </w:instrText>
      </w:r>
      <w:r>
        <w:fldChar w:fldCharType="separate"/>
      </w:r>
      <w:r>
        <w:rPr>
          <w:rFonts w:hint="eastAsia"/>
          <w:lang w:val="en-GB"/>
        </w:rPr>
        <w:t xml:space="preserve">5.3 </w:t>
      </w:r>
      <w:r>
        <w:rPr>
          <w:rFonts w:hint="eastAsia"/>
        </w:rPr>
        <w:t>过渡季工况</w:t>
      </w:r>
      <w:r>
        <w:tab/>
      </w:r>
      <w:r>
        <w:fldChar w:fldCharType="begin"/>
      </w:r>
      <w:r>
        <w:instrText xml:space="preserve"> PAGEREF _Toc7570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_Toc11144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_Toc11144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_Toc15253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_Toc15253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_Toc6225 </w:instrText>
      </w:r>
      <w:r>
        <w:fldChar w:fldCharType="separate"/>
      </w:r>
      <w:r>
        <w:rPr>
          <w:rFonts w:hint="eastAsia" w:eastAsia="宋体"/>
          <w:szCs w:val="24"/>
          <w:lang w:val="en-GB"/>
        </w:rPr>
        <w:t xml:space="preserve">5.3.3 </w:t>
      </w:r>
      <w:r>
        <w:rPr>
          <w:rFonts w:hint="eastAsia"/>
        </w:rPr>
        <w:t>人行区域旋涡区/无风区达标判定</w:t>
      </w:r>
      <w:r>
        <w:tab/>
      </w:r>
      <w:r>
        <w:fldChar w:fldCharType="begin"/>
      </w:r>
      <w:r>
        <w:instrText xml:space="preserve"> PAGEREF _Toc6225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_Toc27491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_Toc27491 </w:instrText>
      </w:r>
      <w:r>
        <w:fldChar w:fldCharType="separate"/>
      </w:r>
      <w:r>
        <w:t>19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_Toc18059 </w:instrText>
      </w:r>
      <w:r>
        <w:fldChar w:fldCharType="separate"/>
      </w:r>
      <w:r>
        <w:rPr>
          <w:rFonts w:hint="eastAsia"/>
          <w:lang w:val="en-GB"/>
        </w:rPr>
        <w:t xml:space="preserve">5.4 </w:t>
      </w:r>
      <w:r>
        <w:rPr>
          <w:rFonts w:hint="eastAsia"/>
        </w:rPr>
        <w:t>结论</w:t>
      </w:r>
      <w:r>
        <w:tab/>
      </w:r>
      <w:r>
        <w:fldChar w:fldCharType="begin"/>
      </w:r>
      <w:r>
        <w:instrText xml:space="preserve"> PAGEREF _Toc18059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_Toc18285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_Toc18285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_Toc8044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_Toc8044 </w:instrText>
      </w:r>
      <w:r>
        <w:fldChar w:fldCharType="separate"/>
      </w:r>
      <w:r>
        <w:t>21</w:t>
      </w:r>
      <w:r>
        <w:fldChar w:fldCharType="end"/>
      </w:r>
      <w:r>
        <w:fldChar w:fldCharType="end"/>
      </w:r>
    </w:p>
    <w:p>
      <w:pPr>
        <w:pStyle w:val="19"/>
        <w:spacing w:line="240" w:lineRule="auto"/>
        <w:sectPr>
          <w:footerReference r:id="rId5" w:type="first"/>
          <w:headerReference r:id="rId3" w:type="default"/>
          <w:footerReference r:id="rId4"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16814"/>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884"/>
      <w:bookmarkStart w:id="13" w:name="_Toc452108760"/>
      <w:r>
        <w:rPr>
          <w:rFonts w:hint="eastAsia"/>
        </w:rPr>
        <w:t>总</w:t>
      </w:r>
      <w:r>
        <w:t>平面图</w:t>
      </w:r>
      <w:bookmarkEnd w:id="12"/>
    </w:p>
    <w:p>
      <w:pPr>
        <w:pStyle w:val="3"/>
        <w:ind w:firstLine="0" w:firstLineChars="0"/>
        <w:jc w:val="center"/>
        <w:rPr>
          <w:lang w:val="en-US"/>
        </w:rPr>
      </w:pPr>
      <w:r>
        <w:rPr>
          <w:rFonts w:hint="eastAsia"/>
          <w:lang w:val="en-US"/>
        </w:rPr>
        <w:t xml:space="preserve"> </w:t>
      </w:r>
      <w:bookmarkStart w:id="14" w:name="总平面图"/>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5" w:name="_Toc11665"/>
      <w:bookmarkStart w:id="16" w:name="_Toc452108761"/>
      <w:r>
        <w:rPr>
          <w:rFonts w:hint="eastAsia"/>
        </w:rPr>
        <w:t>三</w:t>
      </w:r>
      <w:r>
        <w:t>维视图</w:t>
      </w:r>
      <w:bookmarkEnd w:id="15"/>
    </w:p>
    <w:p>
      <w:pPr>
        <w:pStyle w:val="3"/>
        <w:ind w:firstLine="0" w:firstLineChars="0"/>
        <w:jc w:val="center"/>
        <w:rPr>
          <w:lang w:val="en-US"/>
        </w:rPr>
      </w:pPr>
      <w:r>
        <w:rPr>
          <w:rFonts w:hint="eastAsia"/>
          <w:lang w:val="en-US"/>
        </w:rPr>
        <w:t xml:space="preserve"> </w:t>
      </w:r>
      <w:bookmarkStart w:id="17" w:name="三维视图"/>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8" w:name="_Toc409"/>
      <w:bookmarkStart w:id="19" w:name="TitleFormat"/>
      <w:bookmarkStart w:id="20" w:name="_Toc452108762"/>
      <w:r>
        <w:rPr>
          <w:rFonts w:hint="eastAsia"/>
        </w:rPr>
        <w:t>计算</w:t>
      </w:r>
      <w:r>
        <w:t>依据</w:t>
      </w:r>
      <w:bookmarkEnd w:id="18"/>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1" w:name="_Toc27735"/>
      <w:bookmarkStart w:id="22" w:name="_Toc452108763"/>
      <w:r>
        <w:rPr>
          <w:rFonts w:hint="eastAsia"/>
        </w:rPr>
        <w:t>参考</w:t>
      </w:r>
      <w:r>
        <w:t>标准</w:t>
      </w:r>
      <w:bookmarkEnd w:id="21"/>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3" w:name="_Toc451698935"/>
      <w:bookmarkStart w:id="24" w:name="_Toc452108764"/>
      <w:bookmarkStart w:id="25"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6" w:name="_Toc7633"/>
      <w:r>
        <w:rPr>
          <w:rFonts w:hint="eastAsia"/>
        </w:rPr>
        <w:t>计算原理</w:t>
      </w:r>
      <w:bookmarkEnd w:id="26"/>
    </w:p>
    <w:p>
      <w:pPr>
        <w:pStyle w:val="4"/>
        <w:numPr>
          <w:ilvl w:val="1"/>
          <w:numId w:val="3"/>
        </w:numPr>
      </w:pPr>
      <w:bookmarkStart w:id="27" w:name="_Toc438"/>
      <w:bookmarkStart w:id="28" w:name="_Toc509844740"/>
      <w:bookmarkStart w:id="29" w:name="_Toc451698937"/>
      <w:bookmarkStart w:id="30" w:name="_Toc452108765"/>
      <w:r>
        <w:rPr>
          <w:rFonts w:hint="eastAsia"/>
        </w:rPr>
        <w:t>风场计算域</w:t>
      </w:r>
      <w:bookmarkEnd w:id="27"/>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1" w:name="_Toc17600"/>
      <w:r>
        <w:rPr>
          <w:rFonts w:hint="eastAsia"/>
        </w:rPr>
        <w:t>冬季工况风场计算域</w:t>
      </w:r>
      <w:bookmarkEnd w:id="3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124</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2" w:name="_Toc26724"/>
      <w:r>
        <w:rPr>
          <w:rFonts w:hint="eastAsia"/>
        </w:rPr>
        <w:t>过渡季工况风场计算域</w:t>
      </w:r>
      <w:bookmarkEnd w:id="32"/>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124</w:t>
            </w:r>
          </w:p>
        </w:tc>
      </w:tr>
    </w:tbl>
    <w:p>
      <w:pPr>
        <w:pStyle w:val="3"/>
        <w:ind w:firstLine="0" w:firstLineChars="0"/>
        <w:jc w:val="center"/>
        <w:rPr>
          <w:lang w:val="en-US"/>
        </w:rPr>
      </w:pPr>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3"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4" w:name="_Toc19549"/>
      <w:bookmarkStart w:id="35" w:name="_Toc509844741"/>
      <w:r>
        <w:rPr>
          <w:rFonts w:hint="eastAsia"/>
        </w:rPr>
        <w:t>网格划分</w:t>
      </w:r>
      <w:bookmarkEnd w:id="34"/>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6" w:name="OLE_LINK276"/>
      <w:bookmarkStart w:id="37" w:name="OLE_LINK277"/>
      <w:r>
        <w:rPr>
          <w:rFonts w:hint="eastAsia"/>
        </w:rPr>
        <w:t>1）普通网格：指除靠近地面和建筑以外的网格，通常不需要特别加密处理</w:t>
      </w:r>
    </w:p>
    <w:p>
      <w:pPr>
        <w:pStyle w:val="12"/>
        <w:numPr>
          <w:ilvl w:val="0"/>
          <w:numId w:val="4"/>
        </w:numPr>
        <w:spacing w:before="156"/>
      </w:pPr>
      <w:bookmarkStart w:id="38" w:name="OLE_LINK15"/>
      <w:r>
        <w:rPr>
          <w:rFonts w:hint="eastAsia"/>
        </w:rPr>
        <w:t>分弧精度：对于有圆弧特征的建筑局部，把圆弧分解为线段时，弦到弧的最大距离；</w:t>
      </w:r>
    </w:p>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864029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39" w:name="冬季建筑附面层数"/>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877748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3"/>
        <w:ind w:firstLine="630" w:firstLineChars="300"/>
        <w:rPr>
          <w:rFonts w:ascii="黑体" w:hAnsi="黑体" w:eastAsia="黑体"/>
          <w:szCs w:val="20"/>
        </w:rPr>
      </w:pPr>
      <w:bookmarkStart w:id="40" w:name="网格划分信息"/>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41" w:name="_Toc509844742"/>
      <w:bookmarkStart w:id="42" w:name="_Toc13364"/>
      <w:r>
        <w:rPr>
          <w:rFonts w:hint="eastAsia"/>
        </w:rPr>
        <w:t>边界条件</w:t>
      </w:r>
      <w:bookmarkEnd w:id="41"/>
      <w:bookmarkEnd w:id="42"/>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43" w:name="_Toc509844743"/>
      <w:bookmarkStart w:id="44" w:name="_Toc30"/>
      <w:r>
        <w:rPr>
          <w:rFonts w:hint="eastAsia"/>
        </w:rPr>
        <w:t>入口与出口边界条件</w:t>
      </w:r>
      <w:bookmarkEnd w:id="43"/>
      <w:bookmarkEnd w:id="44"/>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45" w:name="地面粗糙度指数2"/>
      <w:r>
        <w:rPr>
          <w:rFonts w:hint="eastAsia"/>
          <w:lang w:val="en-US"/>
        </w:rPr>
        <w:t>0.28</w:t>
      </w:r>
      <w:bookmarkEnd w:id="45"/>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46" w:name="_Toc509844744"/>
      <w:bookmarkStart w:id="47" w:name="_Toc5630"/>
      <w:r>
        <w:rPr>
          <w:rFonts w:hint="eastAsia"/>
        </w:rPr>
        <w:t>壁面边界条件</w:t>
      </w:r>
      <w:bookmarkEnd w:id="46"/>
      <w:bookmarkEnd w:id="47"/>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48" w:name="_Toc7088"/>
      <w:r>
        <w:rPr>
          <w:rFonts w:hint="eastAsia"/>
        </w:rPr>
        <w:t>湍流模型</w:t>
      </w:r>
      <w:bookmarkEnd w:id="48"/>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49" w:name="_Toc451698939"/>
      <w:bookmarkStart w:id="50" w:name="_Toc452108767"/>
      <w:bookmarkStart w:id="51" w:name="_Toc22548"/>
      <w:r>
        <w:rPr>
          <w:rFonts w:hint="eastAsia"/>
        </w:rPr>
        <w:t>求解计算</w:t>
      </w:r>
      <w:bookmarkEnd w:id="49"/>
      <w:bookmarkEnd w:id="50"/>
      <w:bookmarkEnd w:id="51"/>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2"/>
      <w:r>
        <w:rPr>
          <w:rFonts w:hint="eastAsia" w:ascii="黑体" w:hAnsi="黑体" w:eastAsia="黑体"/>
          <w:sz w:val="20"/>
          <w:szCs w:val="20"/>
        </w:rPr>
        <w:t xml:space="preserve"> </w:t>
      </w:r>
      <w:bookmarkStart w:id="53" w:name="_Ref225175618"/>
      <w:r>
        <w:rPr>
          <w:rFonts w:hint="eastAsia" w:ascii="黑体" w:hAnsi="黑体" w:eastAsia="黑体"/>
          <w:sz w:val="20"/>
          <w:szCs w:val="20"/>
        </w:rPr>
        <w:t>计算流体力学的控制方程</w:t>
      </w:r>
      <w:bookmarkEnd w:id="5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54" w:name="_Toc509844747"/>
      <w:bookmarkStart w:id="55" w:name="_Toc4139"/>
      <w:r>
        <w:rPr>
          <w:rFonts w:hint="eastAsia"/>
        </w:rPr>
        <w:t>风速放大系数计算</w:t>
      </w:r>
      <w:bookmarkEnd w:id="54"/>
      <w:bookmarkEnd w:id="55"/>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ctrlPr>
                              <w:rPr>
                                <w:rFonts w:ascii="Cambria Math" w:hAnsi="Cambria Math"/>
                                <w:i/>
                                <w:lang w:val="en-US"/>
                              </w:rPr>
                            </m:ctrlPr>
                          </m:e>
                          <m:sup>
                            <m:r>
                              <w:rPr>
                                <w:rFonts w:ascii="Cambria Math" w:hAnsi="Cambria Math"/>
                                <w:lang w:val="en-US"/>
                              </w:rPr>
                              <m:t>'</m:t>
                            </m:r>
                            <m:ctrlPr>
                              <w:rPr>
                                <w:rFonts w:ascii="Cambria Math" w:hAnsi="Cambria Math"/>
                                <w:i/>
                                <w:lang w:val="en-US"/>
                              </w:rPr>
                            </m:ctrlP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ctrlPr>
                                      <w:rPr>
                                        <w:rFonts w:ascii="Cambria Math" w:hAnsi="Cambria Math"/>
                                        <w:i/>
                                        <w:lang w:val="en-US"/>
                                      </w:rPr>
                                    </m:ctrlPr>
                                  </m:num>
                                  <m:den>
                                    <m: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28" r:id="rId59">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2" o:title=""/>
            <o:lock v:ext="edit" aspectratio="t"/>
            <w10:wrap type="none"/>
            <w10:anchorlock/>
          </v:shape>
          <o:OLEObject Type="Embed" ProgID="Equation.3" ShapeID="_x0000_i1029" DrawAspect="Content" ObjectID="_1468075729" r:id="rId61">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4" o:title=""/>
            <o:lock v:ext="edit" aspectratio="t"/>
            <w10:wrap type="none"/>
            <w10:anchorlock/>
          </v:shape>
          <o:OLEObject Type="Embed" ProgID="Equation.3" ShapeID="_x0000_i1030" DrawAspect="Content" ObjectID="_1468075730" r:id="rId63">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6" o:title=""/>
            <o:lock v:ext="edit" aspectratio="t"/>
            <w10:wrap type="none"/>
            <w10:anchorlock/>
          </v:shape>
          <o:OLEObject Type="Embed" ProgID="Equation.3" ShapeID="_x0000_i1031" DrawAspect="Content" ObjectID="_1468075731" r:id="rId65">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56" w:name="地面粗糙度指数"/>
      <w:r>
        <w:rPr>
          <w:rFonts w:hint="eastAsia"/>
          <w:lang w:val="en-US"/>
        </w:rPr>
        <w:t>0.28</w:t>
      </w:r>
      <w:bookmarkEnd w:id="56"/>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57" w:name="_Toc452108768"/>
      <w:bookmarkStart w:id="58" w:name="_Toc4128"/>
      <w:r>
        <w:rPr>
          <w:rFonts w:hint="eastAsia"/>
        </w:rPr>
        <w:t>结果</w:t>
      </w:r>
      <w:r>
        <w:t>分析</w:t>
      </w:r>
      <w:bookmarkEnd w:id="57"/>
      <w:bookmarkEnd w:id="58"/>
    </w:p>
    <w:p>
      <w:pPr>
        <w:pStyle w:val="4"/>
        <w:rPr>
          <w:szCs w:val="21"/>
        </w:rPr>
      </w:pPr>
      <w:bookmarkStart w:id="59" w:name="_Toc23082"/>
      <w:r>
        <w:rPr>
          <w:rFonts w:hint="eastAsia"/>
          <w:szCs w:val="21"/>
        </w:rPr>
        <w:t>工况</w:t>
      </w:r>
      <w:r>
        <w:rPr>
          <w:szCs w:val="21"/>
        </w:rPr>
        <w:t>表</w:t>
      </w:r>
      <w:bookmarkEnd w:id="59"/>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6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3.60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67.5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3.50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225.0</w:t>
            </w:r>
          </w:p>
        </w:tc>
      </w:tr>
      <w:bookmarkEnd w:id="60"/>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61" w:name="_Toc252"/>
      <w:r>
        <w:rPr>
          <w:rFonts w:hint="eastAsia"/>
        </w:rPr>
        <w:t>冬季工况</w:t>
      </w:r>
      <w:bookmarkEnd w:id="61"/>
    </w:p>
    <w:p>
      <w:pPr>
        <w:ind w:firstLine="420" w:firstLineChars="200"/>
        <w:jc w:val="both"/>
      </w:pPr>
      <w:r>
        <w:rPr>
          <w:rFonts w:hint="eastAsia"/>
          <w:lang w:val="en-US"/>
        </w:rPr>
        <w:t>本项目冬季工况的入口边界风速为</w:t>
      </w:r>
      <w:r>
        <w:rPr>
          <w:rFonts w:hint="eastAsia" w:ascii="Calibri" w:hAnsi="Calibri"/>
          <w:szCs w:val="21"/>
        </w:rPr>
        <w:t>3.60</w:t>
      </w:r>
      <w:r>
        <w:rPr>
          <w:rFonts w:ascii="Calibri" w:hAnsi="Calibri"/>
          <w:szCs w:val="21"/>
        </w:rPr>
        <w:t>m/s</w:t>
      </w:r>
      <w:r>
        <w:rPr>
          <w:rFonts w:hint="eastAsia" w:ascii="Calibri" w:hAnsi="Calibri"/>
          <w:szCs w:val="21"/>
        </w:rPr>
        <w:t>，风向为</w:t>
      </w:r>
      <w:r>
        <w:rPr>
          <w:szCs w:val="21"/>
        </w:rPr>
        <w:t>NNE</w:t>
      </w:r>
      <w:r>
        <w:rPr>
          <w:rFonts w:hint="eastAsia"/>
          <w:szCs w:val="21"/>
        </w:rPr>
        <w:t>。</w:t>
      </w:r>
    </w:p>
    <w:p>
      <w:pPr>
        <w:pStyle w:val="5"/>
      </w:pPr>
      <w:bookmarkStart w:id="62" w:name="_Toc26530"/>
      <w:r>
        <w:rPr>
          <w:rFonts w:hint="eastAsia"/>
        </w:rPr>
        <w:t>风速达标分析</w:t>
      </w:r>
      <w:bookmarkEnd w:id="62"/>
      <w:r>
        <w:rPr>
          <w:rFonts w:hint="eastAsia"/>
        </w:rPr>
        <w:t xml:space="preserve"> </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r>
        <w:rPr>
          <w:lang w:val="en-US"/>
        </w:rPr>
        <w:t>建筑周围</w:t>
      </w:r>
      <w:r>
        <w:rPr>
          <w:color w:val="00FF00"/>
          <w:lang w:val="en-US"/>
        </w:rPr>
        <w:t>没有</w:t>
      </w:r>
      <w:r>
        <w:rPr>
          <w:lang w:val="en-US"/>
        </w:rPr>
        <w:t>风速超限区域，</w:t>
      </w:r>
      <w:r>
        <w:rPr>
          <w:color w:val="00FF00"/>
          <w:lang w:val="en-US"/>
        </w:rPr>
        <w:t>可以</w:t>
      </w:r>
      <w:r>
        <w:rPr>
          <w:lang w:val="en-US"/>
        </w:rPr>
        <w:t>采用该建筑布局。</w:t>
      </w:r>
    </w:p>
    <w:p>
      <w:pPr>
        <w:pStyle w:val="3"/>
        <w:ind w:hanging="2" w:firstLineChars="0"/>
        <w:jc w:val="center"/>
        <w:rPr>
          <w:rFonts w:ascii="Calibri Light" w:hAnsi="Calibri Light" w:eastAsia="黑体"/>
          <w:sz w:val="20"/>
          <w:szCs w:val="20"/>
        </w:rPr>
      </w:pPr>
      <w:r>
        <w:drawing>
          <wp:inline distT="0" distB="0" distL="0" distR="0">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8"/>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63" w:name="_Toc9359"/>
      <w:r>
        <w:rPr>
          <w:rFonts w:hint="eastAsia"/>
        </w:rPr>
        <w:t>风速放大系数达标分析</w:t>
      </w:r>
      <w:bookmarkEnd w:id="63"/>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r>
        <w:rPr>
          <w:lang w:val="en-US"/>
        </w:rPr>
        <w:t>建筑周围</w:t>
      </w:r>
      <w:r>
        <w:rPr>
          <w:color w:val="00FF00"/>
          <w:lang w:val="en-US"/>
        </w:rPr>
        <w:t>没有</w:t>
      </w:r>
      <w:r>
        <w:rPr>
          <w:lang w:val="en-US"/>
        </w:rPr>
        <w:t>风速放大系数超限区域，</w:t>
      </w:r>
      <w:r>
        <w:rPr>
          <w:color w:val="00FF00"/>
          <w:lang w:val="en-US"/>
        </w:rPr>
        <w:t>可以</w:t>
      </w:r>
      <w:r>
        <w:rPr>
          <w:lang w:val="en-US"/>
        </w:rPr>
        <w:t>采用该建筑布局。</w:t>
      </w:r>
    </w:p>
    <w:p>
      <w:pPr>
        <w:pStyle w:val="13"/>
        <w:jc w:val="center"/>
        <w:rPr>
          <w:lang w:val="en-US"/>
        </w:rPr>
      </w:pPr>
      <w:r>
        <w:drawing>
          <wp:inline distT="0" distB="0" distL="0" distR="0">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9"/>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64" w:name="_Toc21657"/>
      <w:r>
        <w:rPr>
          <w:rFonts w:hint="eastAsia" w:cs="宋体"/>
          <w:lang w:val="en-GB"/>
        </w:rPr>
        <w:t>人行区域</w:t>
      </w:r>
      <w:r>
        <w:rPr>
          <w:rFonts w:hint="eastAsia"/>
        </w:rPr>
        <w:t>冬季工况风速/风速放大系数达标判定</w:t>
      </w:r>
      <w:bookmarkEnd w:id="64"/>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r>
              <w:rPr>
                <w:rFonts w:hint="eastAsia" w:ascii="宋体" w:hAnsi="宋体" w:cs="宋体"/>
                <w:szCs w:val="21"/>
              </w:rPr>
              <w:t xml:space="preserve">或 </w:t>
            </w:r>
            <w:r>
              <w:rPr>
                <w:rFonts w:ascii="宋体" w:hAnsi="宋体" w:cs="宋体"/>
                <w:szCs w:val="21"/>
              </w:rPr>
              <w:t>&lt;2m/s</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65" w:name="冬季工况风速是否有超限区域"/>
            <w:r>
              <w:rPr>
                <w:rFonts w:hint="eastAsia" w:ascii="宋体" w:hAnsi="宋体" w:cs="宋体"/>
                <w:color w:val="000000"/>
                <w:sz w:val="22"/>
                <w:szCs w:val="22"/>
                <w:lang w:val="en-US"/>
              </w:rPr>
              <w:t>否</w:t>
            </w:r>
            <w:bookmarkEnd w:id="65"/>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bl>
    <w:p>
      <w:pPr>
        <w:pStyle w:val="5"/>
      </w:pPr>
      <w:bookmarkStart w:id="66" w:name="_Toc9145"/>
      <w:r>
        <w:rPr>
          <w:rFonts w:hint="eastAsia"/>
        </w:rPr>
        <w:t>建筑迎风面和背风面风压分析</w:t>
      </w:r>
      <w:bookmarkEnd w:id="66"/>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noChangeArrowheads="1"/>
                    </pic:cNvPicPr>
                  </pic:nvPicPr>
                  <pic:blipFill>
                    <a:blip r:embed="rId70">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r>
        <w:drawing>
          <wp:inline distT="0" distB="0" distL="0" distR="0">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1"/>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67" w:name="冬季工况建筑背风面风压云图"/>
      <w:r>
        <w:drawing>
          <wp:inline distT="0" distB="0" distL="0" distR="0">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2"/>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-DT单体(模拟改造后  通风)</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-2.65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-2.77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-2.80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-3.03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-1.98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-2.66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-2.25</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-2.07</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-2.41</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0.34</w:t>
            </w:r>
          </w:p>
        </w:tc>
      </w:tr>
    </w:tbl>
    <w:p>
      <w:r>
        <w:t>标准要求：迎背风面窗平均风压差（绝对值）≤5Pa。结论：该楼</w:t>
      </w:r>
      <w:r>
        <w:rPr>
          <w:b/>
          <w:color w:val="0000FF"/>
        </w:rPr>
        <w:t>达标</w:t>
      </w:r>
      <w:r>
        <w:t>。</w:t>
      </w:r>
    </w:p>
    <w:p>
      <w:pPr>
        <w:jc w:val="center"/>
        <w:rPr>
          <w:rFonts w:ascii="Cambria" w:hAnsi="Cambria" w:eastAsia="黑体"/>
          <w:sz w:val="20"/>
        </w:rPr>
      </w:pPr>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DT单体(模拟改造后  通风)</w:t>
            </w:r>
          </w:p>
        </w:tc>
        <w:tc>
          <w:tcPr>
            <w:tcW w:w="1276" w:type="dxa"/>
            <w:shd w:val="clear" w:color="auto" w:fill="auto"/>
            <w:vAlign w:val="center"/>
          </w:tcPr>
          <w:p>
            <w:pPr>
              <w:jc w:val="center"/>
              <w:rPr>
                <w:lang w:val="en-US"/>
              </w:rPr>
            </w:pPr>
            <w:r>
              <w:rPr>
                <w:lang w:val="en-US"/>
              </w:rPr>
              <w:t>-2.07</w:t>
            </w:r>
          </w:p>
        </w:tc>
        <w:tc>
          <w:tcPr>
            <w:tcW w:w="1276" w:type="dxa"/>
            <w:shd w:val="clear" w:color="auto" w:fill="auto"/>
            <w:vAlign w:val="center"/>
          </w:tcPr>
          <w:p>
            <w:pPr>
              <w:jc w:val="center"/>
              <w:rPr>
                <w:lang w:val="en-US"/>
              </w:rPr>
            </w:pPr>
            <w:r>
              <w:rPr>
                <w:lang w:val="en-US"/>
              </w:rPr>
              <w:t>-2.41</w:t>
            </w:r>
          </w:p>
        </w:tc>
        <w:tc>
          <w:tcPr>
            <w:tcW w:w="1701" w:type="dxa"/>
            <w:shd w:val="clear" w:color="auto" w:fill="auto"/>
            <w:vAlign w:val="center"/>
          </w:tcPr>
          <w:p>
            <w:pPr>
              <w:jc w:val="center"/>
              <w:rPr>
                <w:lang w:val="en-US"/>
              </w:rPr>
            </w:pPr>
            <w:r>
              <w:rPr>
                <w:lang w:val="en-US"/>
              </w:rPr>
              <w:t>0.34</w:t>
            </w:r>
          </w:p>
        </w:tc>
        <w:tc>
          <w:tcPr>
            <w:tcW w:w="973" w:type="dxa"/>
            <w:shd w:val="clear" w:color="auto" w:fill="auto"/>
            <w:vAlign w:val="center"/>
          </w:tcPr>
          <w:p>
            <w:pPr>
              <w:jc w:val="center"/>
              <w:rPr>
                <w:lang w:val="en-US"/>
              </w:rPr>
            </w:pPr>
            <w:r>
              <w:rPr>
                <w:lang w:val="en-US"/>
              </w:rPr>
              <w:t>是</w:t>
            </w:r>
          </w:p>
        </w:tc>
      </w:tr>
      <w:bookmarkEnd w:id="38"/>
    </w:tbl>
    <w:p>
      <w:pPr>
        <w:rPr>
          <w:lang w:val="en-US"/>
        </w:rPr>
      </w:pPr>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68" w:name="冬季工况"/>
      <w:bookmarkEnd w:id="68"/>
      <w:r>
        <w:rPr>
          <w:rFonts w:hint="eastAsia"/>
          <w:lang w:val="en-US"/>
        </w:rPr>
        <w:t xml:space="preserve"> </w:t>
      </w:r>
    </w:p>
    <w:p>
      <w:pPr>
        <w:pStyle w:val="4"/>
      </w:pPr>
      <w:bookmarkStart w:id="69" w:name="_Toc7570"/>
      <w:r>
        <w:rPr>
          <w:rFonts w:hint="eastAsia"/>
        </w:rPr>
        <w:t>过渡季工况</w:t>
      </w:r>
      <w:bookmarkEnd w:id="69"/>
    </w:p>
    <w:p>
      <w:pPr>
        <w:pStyle w:val="3"/>
        <w:ind w:firstLine="420"/>
      </w:pPr>
      <w:r>
        <w:rPr>
          <w:rFonts w:hint="eastAsia"/>
          <w:lang w:val="en-US"/>
        </w:rPr>
        <w:t>本项目过渡季工况的入口边界风速为3.50m/s，风向为</w:t>
      </w:r>
      <w:r>
        <w:t>SW</w:t>
      </w:r>
      <w:r>
        <w:rPr>
          <w:rFonts w:hint="eastAsia"/>
          <w:lang w:val="en-US"/>
        </w:rPr>
        <w:t>。</w:t>
      </w:r>
    </w:p>
    <w:p>
      <w:pPr>
        <w:pStyle w:val="3"/>
        <w:ind w:firstLine="420"/>
      </w:pPr>
      <w:r>
        <w:rPr>
          <w:rFonts w:hint="eastAsia"/>
          <w:lang w:val="en-US"/>
        </w:rPr>
        <w:t>根据前述《绿色建筑评价标准》 对于夏季工况的要求，过渡季典型风速和风向条件下，场地内人活动区不出现涡旋或无风区。通过该项标准指导设计确保合理的建筑布局，在过渡季形成有效的巷道风，优化街区自然通风环境，避免过渡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70" w:name="_Toc11144"/>
      <w:r>
        <w:rPr>
          <w:rFonts w:hint="eastAsia"/>
        </w:rPr>
        <w:t>无风区计算分析</w:t>
      </w:r>
      <w:bookmarkEnd w:id="70"/>
    </w:p>
    <w:p>
      <w:pPr>
        <w:pStyle w:val="3"/>
        <w:tabs>
          <w:tab w:val="left" w:pos="426"/>
        </w:tabs>
        <w:ind w:firstLine="420"/>
      </w:pPr>
      <w:r>
        <w:rPr>
          <w:rFonts w:hint="eastAsia"/>
        </w:rPr>
        <w:t>下图为整个计算域内风速分布云图，参考图中速度分布可以对项目中建筑布局进行优化。分析下图，</w:t>
      </w:r>
      <w:r>
        <w:t>黑色等值线</w:t>
      </w:r>
      <w:r>
        <w:rPr>
          <w:color w:val="FF0000"/>
        </w:rPr>
        <w:t>标示出了</w:t>
      </w:r>
      <w:r>
        <w:t>人行区内风速小于0.2m/s的超限区域，因此</w:t>
      </w:r>
      <w:r>
        <w:rPr>
          <w:color w:val="FF0000"/>
        </w:rPr>
        <w:t>未满足</w:t>
      </w:r>
      <w:r>
        <w:t>绿标要求，需调整建筑布局优化区域内风速分布。</w:t>
      </w:r>
    </w:p>
    <w:p>
      <w:pPr>
        <w:pStyle w:val="3"/>
        <w:spacing w:after="156" w:afterLines="50"/>
        <w:ind w:firstLine="0" w:firstLineChars="0"/>
        <w:jc w:val="center"/>
      </w:pPr>
      <w:r>
        <w:drawing>
          <wp:inline distT="0" distB="0" distL="0" distR="0">
            <wp:extent cx="5667375"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3"/>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计算域内-1.5米高度水平面风速云图-过渡季</w:t>
      </w:r>
      <w:bookmarkEnd w:id="14"/>
    </w:p>
    <w:p>
      <w:pPr>
        <w:pStyle w:val="5"/>
      </w:pPr>
      <w:bookmarkStart w:id="71" w:name="_Toc15253"/>
      <w:r>
        <w:rPr>
          <w:rFonts w:hint="eastAsia"/>
        </w:rPr>
        <w:t>旋涡区分析</w:t>
      </w:r>
      <w:bookmarkEnd w:id="16"/>
      <w:bookmarkEnd w:id="71"/>
    </w:p>
    <w:bookmarkEnd w:id="17"/>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9"/>
    <w:p>
      <w:pPr>
        <w:pStyle w:val="3"/>
        <w:ind w:firstLine="0" w:firstLineChars="0"/>
        <w:jc w:val="center"/>
        <w:rPr>
          <w:lang w:val="en-US"/>
        </w:rPr>
      </w:pPr>
      <w:r>
        <w:drawing>
          <wp:inline distT="0" distB="0" distL="0" distR="0">
            <wp:extent cx="5667375" cy="3667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4"/>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72" w:name="_Toc6225"/>
      <w:r>
        <w:rPr>
          <w:rFonts w:hint="eastAsia"/>
        </w:rPr>
        <w:t>人行区域旋涡区/无风区达标判定</w:t>
      </w:r>
      <w:bookmarkEnd w:id="20"/>
      <w:bookmarkEnd w:id="7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2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是</w:t>
            </w:r>
            <w:bookmarkEnd w:id="23"/>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FF0000"/>
                <w:sz w:val="22"/>
                <w:szCs w:val="22"/>
                <w:lang w:val="en-US"/>
              </w:rPr>
              <w:t>否</w:t>
            </w:r>
            <w:bookmarkEnd w:id="24"/>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73" w:name="_Toc27491"/>
      <w:r>
        <w:rPr>
          <w:rFonts w:hint="eastAsia"/>
        </w:rPr>
        <w:t>外窗内外表面风压</w:t>
      </w:r>
      <w:bookmarkEnd w:id="25"/>
      <w:r>
        <w:rPr>
          <w:rFonts w:hint="eastAsia"/>
        </w:rPr>
        <w:t>差达标分析</w:t>
      </w:r>
      <w:bookmarkEnd w:id="28"/>
      <w:bookmarkEnd w:id="73"/>
    </w:p>
    <w:p>
      <w:pPr>
        <w:pStyle w:val="3"/>
        <w:ind w:firstLine="420"/>
      </w:pPr>
      <w:r>
        <w:rPr>
          <w:rFonts w:hint="eastAsia"/>
          <w:lang w:val="en-US"/>
        </w:rPr>
        <w:t>分析《绿色建筑评价标准》，过渡季</w:t>
      </w:r>
      <w:bookmarkEnd w:id="29"/>
      <w:r>
        <w:rPr>
          <w:rFonts w:hint="eastAsia"/>
          <w:lang w:val="en-US"/>
        </w:rPr>
        <w:t>为充分利用自然通风获得良好的室内风环境，要求50%以上可开启外窗室内外表面的风压差大于0.5Pa</w:t>
      </w:r>
      <w:bookmarkEnd w:id="30"/>
      <w:r>
        <w:rPr>
          <w:rFonts w:hint="eastAsia"/>
          <w:lang w:val="en-US"/>
        </w:rPr>
        <w:t>。</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67"/>
    <w:p>
      <w:pPr>
        <w:pStyle w:val="3"/>
        <w:ind w:firstLine="0" w:firstLineChars="0"/>
        <w:jc w:val="center"/>
      </w:pPr>
      <w:r>
        <w:drawing>
          <wp:inline distT="0" distB="0" distL="0" distR="0">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5"/>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33"/>
    </w:p>
    <w:bookmarkEnd w:id="35"/>
    <w:p>
      <w:pPr>
        <w:pStyle w:val="13"/>
        <w:jc w:val="center"/>
      </w:pPr>
      <w:r>
        <w:drawing>
          <wp:inline distT="0" distB="0" distL="0" distR="0">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6"/>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36"/>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DT单体(模拟改造后  通风)</w:t>
            </w:r>
          </w:p>
        </w:tc>
        <w:tc>
          <w:tcPr>
            <w:tcW w:w="1134" w:type="dxa"/>
            <w:shd w:val="clear" w:color="auto" w:fill="auto"/>
            <w:vAlign w:val="center"/>
          </w:tcPr>
          <w:p>
            <w:pPr>
              <w:jc w:val="center"/>
              <w:rPr>
                <w:lang w:val="en-US"/>
              </w:rPr>
            </w:pPr>
            <w:r>
              <w:rPr>
                <w:lang w:val="en-US"/>
              </w:rPr>
              <w:t>914</w:t>
            </w:r>
          </w:p>
        </w:tc>
        <w:tc>
          <w:tcPr>
            <w:tcW w:w="1984" w:type="dxa"/>
            <w:shd w:val="clear" w:color="auto" w:fill="auto"/>
            <w:vAlign w:val="center"/>
          </w:tcPr>
          <w:p>
            <w:pPr>
              <w:jc w:val="center"/>
              <w:rPr>
                <w:lang w:val="en-US"/>
              </w:rPr>
            </w:pPr>
            <w:r>
              <w:rPr>
                <w:lang w:val="en-US"/>
              </w:rPr>
              <w:t>766</w:t>
            </w:r>
          </w:p>
        </w:tc>
        <w:tc>
          <w:tcPr>
            <w:tcW w:w="1116" w:type="dxa"/>
            <w:shd w:val="clear" w:color="auto" w:fill="auto"/>
            <w:vAlign w:val="center"/>
          </w:tcPr>
          <w:p>
            <w:pPr>
              <w:jc w:val="center"/>
              <w:rPr>
                <w:lang w:val="en-US"/>
              </w:rPr>
            </w:pPr>
            <w:r>
              <w:rPr>
                <w:lang w:val="en-US"/>
              </w:rPr>
              <w:t>83.81</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37"/>
    <w:p>
      <w:pPr>
        <w:rPr>
          <w:lang w:val="en-US"/>
        </w:rPr>
      </w:pPr>
    </w:p>
    <w:p/>
    <w:p>
      <w:pPr>
        <w:rPr>
          <w:lang w:val="en-US"/>
        </w:rPr>
      </w:pPr>
      <w:r>
        <w:rPr>
          <w:rFonts w:hint="eastAsia"/>
          <w:lang w:val="en-US"/>
        </w:rPr>
        <w:t>结论：本项目中所有建筑均满足“50%以上可开启外窗室内外表面的风压差大于0.5Pa”的要求。</w:t>
      </w:r>
      <w:bookmarkEnd w:id="40"/>
      <w:r>
        <w:rPr>
          <w:rFonts w:hint="eastAsia"/>
          <w:lang w:val="en-US"/>
        </w:rPr>
        <w:t xml:space="preserve"> </w:t>
      </w:r>
    </w:p>
    <w:p>
      <w:pPr>
        <w:rPr>
          <w:lang w:val="en-US"/>
        </w:rPr>
      </w:pPr>
      <w:bookmarkStart w:id="74" w:name="其他工况"/>
      <w:bookmarkEnd w:id="74"/>
      <w:r>
        <w:rPr>
          <w:rFonts w:hint="eastAsia"/>
          <w:lang w:val="en-US"/>
        </w:rPr>
        <w:t xml:space="preserve"> </w:t>
      </w:r>
    </w:p>
    <w:p>
      <w:pPr>
        <w:pStyle w:val="4"/>
      </w:pPr>
      <w:bookmarkStart w:id="75" w:name="_Toc509844764"/>
      <w:bookmarkStart w:id="76" w:name="_Toc18059"/>
      <w:r>
        <w:rPr>
          <w:rFonts w:hint="eastAsia"/>
        </w:rPr>
        <w:t>结论</w:t>
      </w:r>
      <w:bookmarkEnd w:id="75"/>
      <w:bookmarkEnd w:id="76"/>
    </w:p>
    <w:p>
      <w:pPr>
        <w:pStyle w:val="5"/>
      </w:pPr>
      <w:bookmarkStart w:id="77" w:name="_Toc18285"/>
      <w:r>
        <w:rPr>
          <w:rFonts w:hint="eastAsia"/>
        </w:rPr>
        <w:t>冬季工况达标判断</w:t>
      </w:r>
      <w:bookmarkEnd w:id="7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r>
              <w:t>没有出现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r>
              <w:rPr>
                <w:rFonts w:hint="eastAsia"/>
                <w:b/>
                <w:lang w:val="en-US"/>
              </w:rPr>
              <w:t>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3分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r>
              <w:t>没有出现</w:t>
            </w:r>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r>
              <w:t>没有出现</w:t>
            </w:r>
            <w:r>
              <w:rPr>
                <w:rFonts w:hint="eastAsia"/>
                <w:lang w:val="en-US"/>
              </w:rPr>
              <w:t>建筑迎风面与背风面表面风压差大于5Pa的建筑</w:t>
            </w:r>
          </w:p>
        </w:tc>
        <w:tc>
          <w:tcPr>
            <w:tcW w:w="1985" w:type="dxa"/>
            <w:shd w:val="clear" w:color="auto" w:fill="auto"/>
            <w:vAlign w:val="center"/>
          </w:tcPr>
          <w:p>
            <w:pPr>
              <w:jc w:val="center"/>
              <w:rPr>
                <w:lang w:val="en-US"/>
              </w:rPr>
            </w:pPr>
            <w:r>
              <w:rPr>
                <w:rFonts w:hint="eastAsia"/>
                <w:b/>
                <w:lang w:val="en-US"/>
              </w:rPr>
              <w:t>达标</w:t>
            </w:r>
          </w:p>
        </w:tc>
        <w:tc>
          <w:tcPr>
            <w:tcW w:w="1416" w:type="dxa"/>
            <w:shd w:val="clear" w:color="auto" w:fill="auto"/>
            <w:vAlign w:val="center"/>
          </w:tcPr>
          <w:p>
            <w:pPr>
              <w:jc w:val="center"/>
              <w:rPr>
                <w:lang w:val="en-US"/>
              </w:rPr>
            </w:pPr>
            <w:r>
              <w:rPr>
                <w:rFonts w:hint="eastAsia"/>
                <w:lang w:val="en-US"/>
              </w:rPr>
              <w:t>2</w:t>
            </w:r>
            <w:bookmarkEnd w:id="11"/>
            <w:r>
              <w:rPr>
                <w:rFonts w:hint="eastAsia"/>
                <w:lang w:val="en-US"/>
              </w:rPr>
              <w:t>分</w:t>
            </w:r>
          </w:p>
        </w:tc>
      </w:tr>
      <w:bookmarkEnd w:id="13"/>
      <w:bookmarkEnd w:id="39"/>
    </w:tbl>
    <w:p>
      <w:pPr>
        <w:rPr>
          <w:szCs w:val="21"/>
          <w:lang w:val="en-US"/>
        </w:rPr>
      </w:pPr>
    </w:p>
    <w:bookmarkEnd w:id="0"/>
    <w:bookmarkEnd w:id="1"/>
    <w:p>
      <w:pPr>
        <w:pStyle w:val="5"/>
      </w:pPr>
      <w:bookmarkStart w:id="78" w:name="_Toc8044"/>
      <w:r>
        <w:rPr>
          <w:rFonts w:hint="eastAsia"/>
        </w:rPr>
        <w:t>过渡季、夏季工况达标判断</w:t>
      </w:r>
      <w:bookmarkEnd w:id="2"/>
      <w:bookmarkEnd w:id="7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人行区有</w:t>
            </w:r>
            <w:bookmarkEnd w:id="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color w:val="FF0000"/>
                <w:lang w:val="en-US"/>
              </w:rPr>
              <w:t>不达标</w:t>
            </w:r>
            <w:bookmarkEnd w:id="4"/>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0</w:t>
            </w:r>
            <w:bookmarkEnd w:id="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满足</w:t>
            </w:r>
            <w:bookmarkEnd w:id="6"/>
            <w:r>
              <w:rPr>
                <w:rFonts w:hint="eastAsia"/>
                <w:lang w:val="en-US"/>
              </w:rPr>
              <w:t>标准要求</w:t>
            </w:r>
          </w:p>
        </w:tc>
        <w:tc>
          <w:tcPr>
            <w:tcW w:w="1985" w:type="dxa"/>
            <w:shd w:val="clear" w:color="auto" w:fill="auto"/>
            <w:vAlign w:val="center"/>
          </w:tcPr>
          <w:p>
            <w:pPr>
              <w:jc w:val="center"/>
              <w:rPr>
                <w:b/>
                <w:lang w:val="en-US"/>
              </w:rPr>
            </w:pPr>
            <w:r>
              <w:rPr>
                <w:rFonts w:hint="eastAsia"/>
                <w:b/>
                <w:lang w:val="en-US"/>
              </w:rPr>
              <w:t>达标</w:t>
            </w:r>
            <w:bookmarkEnd w:id="7"/>
          </w:p>
        </w:tc>
        <w:tc>
          <w:tcPr>
            <w:tcW w:w="1416" w:type="dxa"/>
            <w:shd w:val="clear" w:color="auto" w:fill="auto"/>
            <w:vAlign w:val="center"/>
          </w:tcPr>
          <w:p>
            <w:pPr>
              <w:jc w:val="center"/>
              <w:rPr>
                <w:lang w:val="en-US"/>
              </w:rPr>
            </w:pPr>
            <w:r>
              <w:rPr>
                <w:rFonts w:hint="eastAsia"/>
                <w:lang w:val="en-US"/>
              </w:rPr>
              <w:t>2</w:t>
            </w:r>
            <w:bookmarkEnd w:id="8"/>
            <w:r>
              <w:rPr>
                <w:rFonts w:hint="eastAsia"/>
                <w:lang w:val="en-US"/>
              </w:rPr>
              <w:t>分</w:t>
            </w:r>
          </w:p>
        </w:tc>
      </w:tr>
      <w:bookmarkEnd w:id="10"/>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79" w:name="总得分"/>
      <w:r>
        <w:rPr>
          <w:rFonts w:hint="eastAsia"/>
          <w:lang w:val="en-US"/>
        </w:rPr>
        <w:t>7</w:t>
      </w:r>
      <w:bookmarkEnd w:id="79"/>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6</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BB6121D"/>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C7756"/>
    <w:rsid w:val="00FE4CC4"/>
    <w:rsid w:val="00FE79B9"/>
    <w:rsid w:val="00FF2243"/>
    <w:rsid w:val="3BB612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qFormat/>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qFormat/>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qFormat/>
    <w:uiPriority w:val="0"/>
    <w:rPr>
      <w:b/>
      <w:bCs/>
      <w:sz w:val="21"/>
      <w:szCs w:val="28"/>
      <w:lang w:val="en-GB"/>
    </w:rPr>
  </w:style>
  <w:style w:type="character" w:customStyle="1" w:styleId="38">
    <w:name w:val="标题 5 Char"/>
    <w:link w:val="7"/>
    <w:qFormat/>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qFormat/>
    <w:uiPriority w:val="0"/>
    <w:rPr>
      <w:sz w:val="24"/>
      <w:szCs w:val="24"/>
      <w:lang w:val="en-GB"/>
    </w:rPr>
  </w:style>
  <w:style w:type="character" w:customStyle="1" w:styleId="41">
    <w:name w:val="标题 8 Char"/>
    <w:link w:val="10"/>
    <w:qFormat/>
    <w:uiPriority w:val="0"/>
    <w:rPr>
      <w:i/>
      <w:iCs/>
      <w:sz w:val="24"/>
      <w:szCs w:val="24"/>
      <w:lang w:val="en-GB"/>
    </w:rPr>
  </w:style>
  <w:style w:type="character" w:customStyle="1" w:styleId="42">
    <w:name w:val="标题 9 Char"/>
    <w:link w:val="11"/>
    <w:qFormat/>
    <w:uiPriority w:val="0"/>
    <w:rPr>
      <w:rFonts w:ascii="Arial" w:hAnsi="Arial" w:cs="Arial"/>
      <w:sz w:val="22"/>
      <w:szCs w:val="22"/>
      <w:lang w:val="en-GB"/>
    </w:rPr>
  </w:style>
  <w:style w:type="character" w:customStyle="1" w:styleId="43">
    <w:name w:val="页眉 Char"/>
    <w:link w:val="18"/>
    <w:qFormat/>
    <w:uiPriority w:val="0"/>
    <w:rPr>
      <w:sz w:val="21"/>
      <w:szCs w:val="18"/>
      <w:lang w:val="en-GB"/>
    </w:rPr>
  </w:style>
  <w:style w:type="character" w:customStyle="1" w:styleId="44">
    <w:name w:val="文档结构图 Char"/>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0" Type="http://schemas.openxmlformats.org/officeDocument/2006/relationships/fontTable" Target="fontTable.xml"/><Relationship Id="rId8" Type="http://schemas.openxmlformats.org/officeDocument/2006/relationships/image" Target="media/image3.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image" Target="media/image2.bmp"/><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wmf"/><Relationship Id="rId65" Type="http://schemas.openxmlformats.org/officeDocument/2006/relationships/oleObject" Target="embeddings/oleObject7.bin"/><Relationship Id="rId64" Type="http://schemas.openxmlformats.org/officeDocument/2006/relationships/image" Target="media/image53.wmf"/><Relationship Id="rId63" Type="http://schemas.openxmlformats.org/officeDocument/2006/relationships/oleObject" Target="embeddings/oleObject6.bin"/><Relationship Id="rId62" Type="http://schemas.openxmlformats.org/officeDocument/2006/relationships/image" Target="media/image52.wmf"/><Relationship Id="rId61" Type="http://schemas.openxmlformats.org/officeDocument/2006/relationships/oleObject" Target="embeddings/oleObject5.bin"/><Relationship Id="rId60" Type="http://schemas.openxmlformats.org/officeDocument/2006/relationships/image" Target="media/image51.wmf"/><Relationship Id="rId6" Type="http://schemas.openxmlformats.org/officeDocument/2006/relationships/theme" Target="theme/theme1.xml"/><Relationship Id="rId59" Type="http://schemas.openxmlformats.org/officeDocument/2006/relationships/oleObject" Target="embeddings/oleObject4.bin"/><Relationship Id="rId58" Type="http://schemas.openxmlformats.org/officeDocument/2006/relationships/image" Target="media/image50.wmf"/><Relationship Id="rId57" Type="http://schemas.openxmlformats.org/officeDocument/2006/relationships/image" Target="media/image49.wmf"/><Relationship Id="rId56" Type="http://schemas.openxmlformats.org/officeDocument/2006/relationships/image" Target="media/image48.wmf"/><Relationship Id="rId55" Type="http://schemas.openxmlformats.org/officeDocument/2006/relationships/image" Target="media/image47.wmf"/><Relationship Id="rId54" Type="http://schemas.openxmlformats.org/officeDocument/2006/relationships/image" Target="media/image46.wmf"/><Relationship Id="rId53" Type="http://schemas.openxmlformats.org/officeDocument/2006/relationships/image" Target="media/image45.wmf"/><Relationship Id="rId52" Type="http://schemas.openxmlformats.org/officeDocument/2006/relationships/image" Target="media/image44.wmf"/><Relationship Id="rId51" Type="http://schemas.openxmlformats.org/officeDocument/2006/relationships/image" Target="media/image43.wmf"/><Relationship Id="rId50" Type="http://schemas.openxmlformats.org/officeDocument/2006/relationships/image" Target="media/image42.wmf"/><Relationship Id="rId5" Type="http://schemas.openxmlformats.org/officeDocument/2006/relationships/footer" Target="footer2.xml"/><Relationship Id="rId49" Type="http://schemas.openxmlformats.org/officeDocument/2006/relationships/image" Target="media/image41.wmf"/><Relationship Id="rId48" Type="http://schemas.openxmlformats.org/officeDocument/2006/relationships/image" Target="media/image40.wmf"/><Relationship Id="rId47" Type="http://schemas.openxmlformats.org/officeDocument/2006/relationships/image" Target="media/image39.wmf"/><Relationship Id="rId46" Type="http://schemas.openxmlformats.org/officeDocument/2006/relationships/image" Target="media/image38.wmf"/><Relationship Id="rId45" Type="http://schemas.openxmlformats.org/officeDocument/2006/relationships/image" Target="media/image37.wmf"/><Relationship Id="rId44" Type="http://schemas.openxmlformats.org/officeDocument/2006/relationships/image" Target="media/image36.wmf"/><Relationship Id="rId43" Type="http://schemas.openxmlformats.org/officeDocument/2006/relationships/image" Target="media/image35.wmf"/><Relationship Id="rId42" Type="http://schemas.openxmlformats.org/officeDocument/2006/relationships/image" Target="media/image34.wmf"/><Relationship Id="rId41" Type="http://schemas.openxmlformats.org/officeDocument/2006/relationships/image" Target="media/image33.wmf"/><Relationship Id="rId40" Type="http://schemas.openxmlformats.org/officeDocument/2006/relationships/image" Target="media/image32.wmf"/><Relationship Id="rId4" Type="http://schemas.openxmlformats.org/officeDocument/2006/relationships/footer" Target="footer1.xml"/><Relationship Id="rId39" Type="http://schemas.openxmlformats.org/officeDocument/2006/relationships/image" Target="media/image31.wmf"/><Relationship Id="rId38" Type="http://schemas.openxmlformats.org/officeDocument/2006/relationships/image" Target="media/image30.wmf"/><Relationship Id="rId37" Type="http://schemas.openxmlformats.org/officeDocument/2006/relationships/image" Target="media/image29.wmf"/><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wmf"/><Relationship Id="rId22" Type="http://schemas.openxmlformats.org/officeDocument/2006/relationships/image" Target="media/image14.wmf"/><Relationship Id="rId21" Type="http://schemas.openxmlformats.org/officeDocument/2006/relationships/image" Target="media/image13.wmf"/><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3.bin"/><Relationship Id="rId16" Type="http://schemas.openxmlformats.org/officeDocument/2006/relationships/image" Target="media/image9.wmf"/><Relationship Id="rId15" Type="http://schemas.openxmlformats.org/officeDocument/2006/relationships/oleObject" Target="embeddings/oleObject2.bin"/><Relationship Id="rId14" Type="http://schemas.openxmlformats.org/officeDocument/2006/relationships/image" Target="media/image8.w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ner\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C39522-0FC9-4A71-8AF7-D033B6892A3D}">
  <ds:schemaRefs/>
</ds:datastoreItem>
</file>

<file path=docProps/app.xml><?xml version="1.0" encoding="utf-8"?>
<Properties xmlns="http://schemas.openxmlformats.org/officeDocument/2006/extended-properties" xmlns:vt="http://schemas.openxmlformats.org/officeDocument/2006/docPropsVTypes">
  <Template>tmp2.dotx</Template>
  <Pages>22</Pages>
  <Words>5968</Words>
  <Characters>6670</Characters>
  <Lines>40</Lines>
  <Paragraphs>11</Paragraphs>
  <TotalTime>3</TotalTime>
  <ScaleCrop>false</ScaleCrop>
  <LinksUpToDate>false</LinksUpToDate>
  <CharactersWithSpaces>6898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2021-03-09T02:42:00Z</dcterms:created>
  <dc:creator>星辰</dc:creator>
  <cp:lastModifiedBy>星辰</cp:lastModifiedBy>
  <dcterms:modified xsi:type="dcterms:W3CDTF">2021-03-09T02:46:20Z</dcterms:modified>
  <dc:title>室外风环境模拟分析报告</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