
<file path=[Content_Types].xml><?xml version="1.0" encoding="utf-8"?>
<Types xmlns="http://schemas.openxmlformats.org/package/2006/content-types">
  <Default Extension="xml" ContentType="application/xml"/>
  <Default Extension="jpeg" ContentType="image/jpe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exact"/>
        <w:rPr>
          <w:rFonts w:ascii="宋体" w:hAnsi="宋体"/>
          <w:b/>
          <w:bCs/>
          <w:sz w:val="32"/>
          <w:szCs w:val="32"/>
        </w:rPr>
      </w:pPr>
    </w:p>
    <w:p>
      <w:pPr>
        <w:spacing w:after="312" w:afterLines="100"/>
        <w:rPr>
          <w:rFonts w:ascii="宋体" w:hAnsi="宋体"/>
          <w:b/>
          <w:bCs/>
          <w:sz w:val="30"/>
          <w:szCs w:val="24"/>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hint="default" w:ascii="宋体" w:hAnsi="宋体" w:eastAsia="宋体"/>
                <w:szCs w:val="21"/>
                <w:lang w:val="en-US" w:eastAsia="zh-CN"/>
              </w:rPr>
            </w:pPr>
            <w:bookmarkStart w:id="0" w:name="工程名称"/>
            <w:bookmarkEnd w:id="0"/>
            <w:r>
              <w:rPr>
                <w:rFonts w:hint="eastAsia" w:ascii="宋体" w:hAnsi="宋体"/>
                <w:szCs w:val="21"/>
                <w:lang w:val="en-US" w:eastAsia="zh-CN"/>
              </w:rPr>
              <w:t>晋宁</w:t>
            </w:r>
            <w:bookmarkStart w:id="57" w:name="_GoBack"/>
            <w:bookmarkEnd w:id="57"/>
            <w:r>
              <w:rPr>
                <w:rFonts w:hint="eastAsia" w:ascii="宋体" w:hAnsi="宋体"/>
                <w:szCs w:val="21"/>
                <w:lang w:val="en-US" w:eastAsia="zh-CN"/>
              </w:rPr>
              <w:t>十里小学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20190808</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T18308819296</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_Toc658 </w:instrText>
      </w:r>
      <w:r>
        <w:rPr>
          <w:rFonts w:ascii="宋体" w:hAnsi="宋体"/>
          <w:caps/>
        </w:rPr>
        <w:fldChar w:fldCharType="separate"/>
      </w:r>
      <w:r>
        <w:rPr>
          <w:rFonts w:hint="default" w:ascii="Times New Roman" w:hAnsi="Times New Roman"/>
          <w:szCs w:val="28"/>
        </w:rPr>
        <w:t xml:space="preserve">1. </w:t>
      </w:r>
      <w:r>
        <w:rPr>
          <w:rFonts w:hint="eastAsia" w:ascii="Times New Roman" w:hAnsi="Times New Roman"/>
          <w:szCs w:val="28"/>
        </w:rPr>
        <w:t>项目概况</w:t>
      </w:r>
      <w:r>
        <w:tab/>
      </w:r>
      <w:r>
        <w:fldChar w:fldCharType="begin"/>
      </w:r>
      <w:r>
        <w:instrText xml:space="preserve"> PAGEREF _Toc658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_Toc6795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_Toc6795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_Toc22707 </w:instrText>
      </w:r>
      <w:r>
        <w:fldChar w:fldCharType="separate"/>
      </w:r>
      <w:r>
        <w:rPr>
          <w:rFonts w:hint="eastAsia"/>
          <w:szCs w:val="24"/>
        </w:rPr>
        <w:t>2.1评价</w:t>
      </w:r>
      <w:r>
        <w:rPr>
          <w:szCs w:val="24"/>
        </w:rPr>
        <w:t>依据</w:t>
      </w:r>
      <w:r>
        <w:tab/>
      </w:r>
      <w:r>
        <w:fldChar w:fldCharType="begin"/>
      </w:r>
      <w:r>
        <w:instrText xml:space="preserve"> PAGEREF _Toc22707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_Toc30197 </w:instrText>
      </w:r>
      <w:r>
        <w:fldChar w:fldCharType="separate"/>
      </w:r>
      <w:r>
        <w:rPr>
          <w:rFonts w:hint="eastAsia"/>
          <w:szCs w:val="24"/>
        </w:rPr>
        <w:t>2.2标准</w:t>
      </w:r>
      <w:r>
        <w:rPr>
          <w:szCs w:val="24"/>
        </w:rPr>
        <w:t>要求</w:t>
      </w:r>
      <w:r>
        <w:tab/>
      </w:r>
      <w:r>
        <w:fldChar w:fldCharType="begin"/>
      </w:r>
      <w:r>
        <w:instrText xml:space="preserve"> PAGEREF _Toc30197 </w:instrText>
      </w:r>
      <w:r>
        <w:fldChar w:fldCharType="separate"/>
      </w:r>
      <w:r>
        <w:t>3</w:t>
      </w:r>
      <w:r>
        <w:fldChar w:fldCharType="end"/>
      </w:r>
      <w:r>
        <w:fldChar w:fldCharType="end"/>
      </w:r>
    </w:p>
    <w:p>
      <w:pPr>
        <w:pStyle w:val="12"/>
        <w:tabs>
          <w:tab w:val="right" w:leader="dot" w:pos="9070"/>
          <w:tab w:val="clear" w:pos="180"/>
          <w:tab w:val="clear" w:pos="9360"/>
        </w:tabs>
      </w:pPr>
      <w:r>
        <w:fldChar w:fldCharType="begin"/>
      </w:r>
      <w:r>
        <w:instrText xml:space="preserve"> HYPERLINK \l _Toc6446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_Toc6446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_Toc30708 </w:instrText>
      </w:r>
      <w:r>
        <w:fldChar w:fldCharType="separate"/>
      </w:r>
      <w:r>
        <w:rPr>
          <w:rFonts w:hint="eastAsia"/>
          <w:szCs w:val="24"/>
        </w:rPr>
        <w:t>3.1模拟软件</w:t>
      </w:r>
      <w:r>
        <w:tab/>
      </w:r>
      <w:r>
        <w:fldChar w:fldCharType="begin"/>
      </w:r>
      <w:r>
        <w:instrText xml:space="preserve"> PAGEREF _Toc30708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_Toc5632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_Toc5632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_Toc4535 </w:instrText>
      </w:r>
      <w:r>
        <w:fldChar w:fldCharType="separate"/>
      </w:r>
      <w:r>
        <w:rPr>
          <w:rFonts w:hint="eastAsia"/>
          <w:szCs w:val="24"/>
        </w:rPr>
        <w:t>3.</w:t>
      </w:r>
      <w:r>
        <w:rPr>
          <w:szCs w:val="24"/>
        </w:rPr>
        <w:t>3</w:t>
      </w:r>
      <w:r>
        <w:rPr>
          <w:rFonts w:hint="eastAsia"/>
          <w:szCs w:val="24"/>
        </w:rPr>
        <w:t xml:space="preserve"> 计算条件</w:t>
      </w:r>
      <w:r>
        <w:tab/>
      </w:r>
      <w:r>
        <w:fldChar w:fldCharType="begin"/>
      </w:r>
      <w:r>
        <w:instrText xml:space="preserve"> PAGEREF _Toc4535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_Toc20017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_Toc20017 </w:instrText>
      </w:r>
      <w:r>
        <w:fldChar w:fldCharType="separate"/>
      </w:r>
      <w:r>
        <w:t>6</w:t>
      </w:r>
      <w:r>
        <w:fldChar w:fldCharType="end"/>
      </w:r>
      <w:r>
        <w:fldChar w:fldCharType="end"/>
      </w:r>
    </w:p>
    <w:p>
      <w:pPr>
        <w:pStyle w:val="12"/>
        <w:tabs>
          <w:tab w:val="right" w:leader="dot" w:pos="9070"/>
          <w:tab w:val="clear" w:pos="180"/>
          <w:tab w:val="clear" w:pos="9360"/>
        </w:tabs>
      </w:pPr>
      <w:r>
        <w:fldChar w:fldCharType="begin"/>
      </w:r>
      <w:r>
        <w:instrText xml:space="preserve"> HYPERLINK \l _Toc13905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_Toc13905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_Toc24565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_Toc24565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_Toc19696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_Toc19696 </w:instrText>
      </w:r>
      <w:r>
        <w:fldChar w:fldCharType="separate"/>
      </w:r>
      <w:r>
        <w:t>10</w:t>
      </w:r>
      <w:r>
        <w:fldChar w:fldCharType="end"/>
      </w:r>
      <w:r>
        <w:fldChar w:fldCharType="end"/>
      </w:r>
    </w:p>
    <w:p>
      <w:pPr>
        <w:pStyle w:val="12"/>
        <w:tabs>
          <w:tab w:val="right" w:leader="dot" w:pos="9070"/>
          <w:tab w:val="clear" w:pos="180"/>
          <w:tab w:val="clear" w:pos="9360"/>
        </w:tabs>
      </w:pPr>
      <w:r>
        <w:fldChar w:fldCharType="begin"/>
      </w:r>
      <w:r>
        <w:instrText xml:space="preserve"> HYPERLINK \l _Toc22652 </w:instrText>
      </w:r>
      <w:r>
        <w:fldChar w:fldCharType="separate"/>
      </w:r>
      <w:r>
        <w:rPr>
          <w:rFonts w:hint="eastAsia" w:ascii="Times New Roman" w:hAnsi="Times New Roman"/>
          <w:szCs w:val="28"/>
        </w:rPr>
        <w:t>5.结论</w:t>
      </w:r>
      <w:r>
        <w:tab/>
      </w:r>
      <w:r>
        <w:fldChar w:fldCharType="begin"/>
      </w:r>
      <w:r>
        <w:instrText xml:space="preserve"> PAGEREF _Toc22652 </w:instrText>
      </w:r>
      <w:r>
        <w:fldChar w:fldCharType="separate"/>
      </w:r>
      <w:r>
        <w:t>14</w:t>
      </w:r>
      <w:r>
        <w:fldChar w:fldCharType="end"/>
      </w:r>
      <w:r>
        <w:fldChar w:fldCharType="end"/>
      </w:r>
    </w:p>
    <w:p>
      <w:pPr>
        <w:pStyle w:val="12"/>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8"/>
    </w:p>
    <w:p>
      <w:pPr>
        <w:pStyle w:val="2"/>
        <w:numPr>
          <w:ilvl w:val="0"/>
          <w:numId w:val="1"/>
        </w:numPr>
        <w:rPr>
          <w:rFonts w:ascii="Times New Roman" w:hAnsi="Times New Roman"/>
          <w:sz w:val="28"/>
          <w:szCs w:val="28"/>
        </w:rPr>
      </w:pPr>
      <w:bookmarkStart w:id="9" w:name="_Toc658"/>
      <w:bookmarkStart w:id="10" w:name="_Toc479326717"/>
      <w:r>
        <w:rPr>
          <w:rFonts w:hint="eastAsia" w:ascii="Times New Roman" w:hAnsi="Times New Roman"/>
          <w:sz w:val="28"/>
          <w:szCs w:val="28"/>
        </w:rPr>
        <w:t>项目概况</w:t>
      </w:r>
      <w:bookmarkEnd w:id="9"/>
      <w:bookmarkEnd w:id="10"/>
    </w:p>
    <w:p>
      <w:pPr>
        <w:ind w:firstLine="420"/>
      </w:pPr>
      <w:r>
        <w:rPr>
          <w:rFonts w:hint="eastAsia"/>
        </w:rPr>
        <w:t>本项目中参与噪声计算</w:t>
      </w:r>
      <w:r>
        <w:t>的</w:t>
      </w:r>
      <w:r>
        <w:rPr>
          <w:rFonts w:hint="eastAsia"/>
        </w:rPr>
        <w:t>建筑信息如下表所示：</w:t>
      </w:r>
    </w:p>
    <w:p>
      <w:pPr>
        <w:widowControl/>
        <w:jc w:val="center"/>
        <w:rPr>
          <w:rFonts w:ascii="黑体" w:hAnsi="黑体" w:eastAsia="黑体"/>
          <w:kern w:val="0"/>
          <w:szCs w:val="20"/>
        </w:rPr>
      </w:pPr>
      <w:r>
        <w:rPr>
          <w:rFonts w:hint="eastAsia" w:ascii="黑体" w:hAnsi="黑体" w:eastAsia="黑体"/>
          <w:kern w:val="0"/>
          <w:szCs w:val="20"/>
        </w:rPr>
        <w:t xml:space="preserve">表1 </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室内分析单体DT</w:t>
            </w:r>
          </w:p>
        </w:tc>
        <w:tc>
          <w:tcPr>
            <w:vAlign w:val="center"/>
          </w:tcPr>
          <w:p>
            <w:pPr>
              <w:jc w:val="center"/>
            </w:pPr>
            <w:r>
              <w:rPr>
                <w:b/>
              </w:rPr>
              <w:t>11.25</w:t>
            </w:r>
          </w:p>
        </w:tc>
        <w:tc>
          <w:tcPr>
            <w:vAlign w:val="center"/>
          </w:tcPr>
          <w:p>
            <w:pPr>
              <w:jc w:val="center"/>
            </w:pPr>
            <w:r>
              <w:rPr>
                <w:b/>
              </w:rPr>
              <w:t>0.0</w:t>
            </w: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6795"/>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22707"/>
      <w:bookmarkStart w:id="15" w:name="_Toc479326719"/>
      <w:r>
        <w:rPr>
          <w:rFonts w:hint="eastAsia"/>
          <w:sz w:val="24"/>
          <w:szCs w:val="24"/>
        </w:rPr>
        <w:t>2.1评价</w:t>
      </w:r>
      <w:r>
        <w:rPr>
          <w:sz w:val="24"/>
          <w:szCs w:val="24"/>
        </w:rPr>
        <w:t>依据</w:t>
      </w:r>
      <w:bookmarkEnd w:id="14"/>
      <w:bookmarkEnd w:id="15"/>
    </w:p>
    <w:p>
      <w:pPr>
        <w:pStyle w:val="33"/>
        <w:spacing w:line="276" w:lineRule="auto"/>
        <w:ind w:firstLine="420"/>
        <w:rPr>
          <w:sz w:val="21"/>
          <w:szCs w:val="21"/>
        </w:rPr>
      </w:pPr>
      <w:bookmarkStart w:id="16" w:name="_Toc479326720"/>
      <w:r>
        <w:rPr>
          <w:rFonts w:hint="eastAsia"/>
          <w:sz w:val="21"/>
          <w:szCs w:val="21"/>
        </w:rPr>
        <w:t>1．</w:t>
      </w:r>
      <w:bookmarkStart w:id="17" w:name="_Hlk13924517"/>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7"/>
      <w:r>
        <w:rPr>
          <w:sz w:val="21"/>
          <w:szCs w:val="21"/>
        </w:rPr>
        <w:t xml:space="preserve"> </w:t>
      </w:r>
    </w:p>
    <w:p>
      <w:pPr>
        <w:pStyle w:val="33"/>
        <w:spacing w:line="276" w:lineRule="auto"/>
        <w:ind w:firstLine="420"/>
        <w:rPr>
          <w:sz w:val="21"/>
          <w:szCs w:val="21"/>
        </w:rPr>
      </w:pPr>
      <w:r>
        <w:rPr>
          <w:rFonts w:hint="eastAsia"/>
          <w:sz w:val="21"/>
          <w:szCs w:val="21"/>
        </w:rPr>
        <w:t>2．《绿色建筑评价</w:t>
      </w:r>
      <w:r>
        <w:rPr>
          <w:sz w:val="21"/>
          <w:szCs w:val="21"/>
        </w:rPr>
        <w:t>技术细则</w:t>
      </w:r>
      <w:r>
        <w:rPr>
          <w:rFonts w:hint="eastAsia"/>
          <w:sz w:val="21"/>
          <w:szCs w:val="21"/>
        </w:rPr>
        <w:t>》</w:t>
      </w:r>
    </w:p>
    <w:p>
      <w:pPr>
        <w:pStyle w:val="33"/>
        <w:spacing w:line="276" w:lineRule="auto"/>
        <w:ind w:firstLine="420"/>
        <w:rPr>
          <w:sz w:val="21"/>
          <w:szCs w:val="21"/>
        </w:rPr>
      </w:pPr>
      <w:bookmarkStart w:id="18" w:name="OLE_LINK1"/>
      <w:bookmarkStart w:id="19" w:name="OLE_LINK2"/>
      <w:r>
        <w:rPr>
          <w:rFonts w:hint="eastAsia"/>
          <w:sz w:val="21"/>
          <w:szCs w:val="21"/>
        </w:rPr>
        <w:t>3．</w:t>
      </w:r>
      <w:bookmarkEnd w:id="18"/>
      <w:bookmarkEnd w:id="19"/>
      <w:r>
        <w:rPr>
          <w:rFonts w:hint="eastAsia"/>
          <w:sz w:val="21"/>
          <w:szCs w:val="21"/>
        </w:rPr>
        <w:t>《声环境质量标准》</w:t>
      </w:r>
      <w:r>
        <w:rPr>
          <w:sz w:val="21"/>
          <w:szCs w:val="21"/>
        </w:rPr>
        <w:t xml:space="preserve">GB 3096-2008 </w:t>
      </w:r>
    </w:p>
    <w:p>
      <w:pPr>
        <w:pStyle w:val="33"/>
        <w:spacing w:line="276" w:lineRule="auto"/>
        <w:ind w:firstLine="420"/>
        <w:rPr>
          <w:sz w:val="21"/>
          <w:szCs w:val="21"/>
        </w:rPr>
      </w:pPr>
      <w:r>
        <w:rPr>
          <w:sz w:val="21"/>
          <w:szCs w:val="21"/>
        </w:rPr>
        <w:t>4</w:t>
      </w: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spacing w:line="276" w:lineRule="auto"/>
        <w:ind w:firstLine="420"/>
        <w:rPr>
          <w:sz w:val="21"/>
          <w:szCs w:val="21"/>
        </w:rPr>
      </w:pPr>
      <w:r>
        <w:rPr>
          <w:sz w:val="21"/>
          <w:szCs w:val="21"/>
        </w:rPr>
        <w:t>5</w:t>
      </w:r>
      <w:r>
        <w:rPr>
          <w:rFonts w:hint="eastAsia"/>
          <w:sz w:val="21"/>
          <w:szCs w:val="21"/>
        </w:rPr>
        <w:t>．《声环境功能区划分技术规范》</w:t>
      </w:r>
      <w:r>
        <w:rPr>
          <w:sz w:val="21"/>
          <w:szCs w:val="21"/>
        </w:rPr>
        <w:t>GB/T15190-2014</w:t>
      </w:r>
    </w:p>
    <w:p>
      <w:pPr>
        <w:pStyle w:val="33"/>
        <w:spacing w:line="276" w:lineRule="auto"/>
        <w:ind w:firstLine="420"/>
        <w:rPr>
          <w:sz w:val="21"/>
          <w:szCs w:val="21"/>
        </w:rPr>
      </w:pPr>
      <w:r>
        <w:rPr>
          <w:sz w:val="21"/>
          <w:szCs w:val="21"/>
        </w:rPr>
        <w:t>6</w:t>
      </w: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spacing w:line="276" w:lineRule="auto"/>
        <w:ind w:firstLine="420"/>
        <w:rPr>
          <w:sz w:val="21"/>
          <w:szCs w:val="21"/>
        </w:rPr>
      </w:pPr>
      <w:r>
        <w:rPr>
          <w:rFonts w:hint="eastAsia"/>
          <w:sz w:val="21"/>
          <w:szCs w:val="21"/>
        </w:rPr>
        <w:t>7．建筑设计图纸相关文件</w:t>
      </w:r>
    </w:p>
    <w:p>
      <w:pPr>
        <w:pStyle w:val="3"/>
        <w:rPr>
          <w:sz w:val="24"/>
          <w:szCs w:val="24"/>
        </w:rPr>
      </w:pPr>
      <w:bookmarkStart w:id="20" w:name="_Toc30197"/>
      <w:r>
        <w:rPr>
          <w:rFonts w:hint="eastAsia"/>
          <w:sz w:val="24"/>
          <w:szCs w:val="24"/>
        </w:rPr>
        <w:t>2.2标准</w:t>
      </w:r>
      <w:r>
        <w:rPr>
          <w:sz w:val="24"/>
          <w:szCs w:val="24"/>
        </w:rPr>
        <w:t>要求</w:t>
      </w:r>
      <w:bookmarkEnd w:id="16"/>
      <w:bookmarkEnd w:id="20"/>
    </w:p>
    <w:p>
      <w:pPr>
        <w:pStyle w:val="28"/>
        <w:spacing w:line="276" w:lineRule="auto"/>
        <w:jc w:val="left"/>
        <w:rPr>
          <w:rFonts w:ascii="Times New Roman" w:hAnsi="Times New Roman"/>
          <w:sz w:val="21"/>
          <w:szCs w:val="21"/>
        </w:rPr>
      </w:pPr>
      <w:r>
        <w:rPr>
          <w:rFonts w:hint="eastAsia" w:ascii="Times New Roman" w:hAnsi="Times New Roman"/>
          <w:b/>
          <w:sz w:val="21"/>
          <w:szCs w:val="21"/>
        </w:rPr>
        <w:t>（1）《绿色建筑评价标准》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50378-2019</w:t>
      </w:r>
      <w:r>
        <w:rPr>
          <w:rFonts w:hint="eastAsia" w:ascii="Times New Roman" w:hAnsi="Times New Roman"/>
          <w:sz w:val="21"/>
          <w:szCs w:val="21"/>
        </w:rPr>
        <w:t>中规定：</w:t>
      </w:r>
    </w:p>
    <w:p>
      <w:pPr>
        <w:pStyle w:val="33"/>
        <w:spacing w:line="276" w:lineRule="auto"/>
        <w:ind w:firstLine="420"/>
        <w:rPr>
          <w:sz w:val="21"/>
          <w:szCs w:val="21"/>
        </w:rPr>
      </w:pPr>
      <w:r>
        <w:rPr>
          <w:rFonts w:hint="eastAsia"/>
          <w:sz w:val="21"/>
          <w:szCs w:val="21"/>
        </w:rPr>
        <w:t>8.2.6</w:t>
      </w:r>
      <w:r>
        <w:rPr>
          <w:sz w:val="21"/>
          <w:szCs w:val="21"/>
        </w:rPr>
        <w:t xml:space="preserve"> </w:t>
      </w:r>
      <w:r>
        <w:rPr>
          <w:rFonts w:hint="eastAsia"/>
          <w:sz w:val="21"/>
          <w:szCs w:val="21"/>
        </w:rPr>
        <w:t>场地内的环境噪声优于现行国家标准《声环境质量标准》GB3096的要求，评价总分值为10分，并按下列规则评分：</w:t>
      </w:r>
    </w:p>
    <w:p>
      <w:pPr>
        <w:pStyle w:val="33"/>
        <w:spacing w:line="276" w:lineRule="auto"/>
        <w:ind w:firstLine="525" w:firstLineChars="250"/>
        <w:rPr>
          <w:sz w:val="21"/>
          <w:szCs w:val="21"/>
        </w:rPr>
      </w:pPr>
      <w:r>
        <w:rPr>
          <w:rFonts w:hint="eastAsia"/>
          <w:sz w:val="21"/>
          <w:szCs w:val="21"/>
        </w:rPr>
        <w:t>1</w:t>
      </w:r>
      <w:r>
        <w:rPr>
          <w:sz w:val="21"/>
          <w:szCs w:val="21"/>
        </w:rPr>
        <w:t xml:space="preserve">  </w:t>
      </w:r>
      <w:r>
        <w:rPr>
          <w:rFonts w:hint="eastAsia"/>
          <w:sz w:val="21"/>
          <w:szCs w:val="21"/>
        </w:rPr>
        <w:t>环境噪声值大于2类声环境功能区标准限值，且小于或等于3类声环境功能区标准限值，得5分。</w:t>
      </w:r>
    </w:p>
    <w:p>
      <w:pPr>
        <w:pStyle w:val="33"/>
        <w:spacing w:line="276" w:lineRule="auto"/>
        <w:ind w:firstLine="525" w:firstLineChars="250"/>
        <w:rPr>
          <w:sz w:val="21"/>
          <w:szCs w:val="21"/>
        </w:rPr>
      </w:pPr>
      <w:r>
        <w:rPr>
          <w:rFonts w:hint="eastAsia"/>
          <w:sz w:val="21"/>
          <w:szCs w:val="21"/>
        </w:rPr>
        <w:t>2</w:t>
      </w:r>
      <w:r>
        <w:rPr>
          <w:sz w:val="21"/>
          <w:szCs w:val="21"/>
        </w:rPr>
        <w:t xml:space="preserve">  </w:t>
      </w:r>
      <w:r>
        <w:rPr>
          <w:rFonts w:hint="eastAsia"/>
          <w:sz w:val="21"/>
          <w:szCs w:val="21"/>
        </w:rPr>
        <w:t>环境噪声值小于或等于2类声环境功能区标准限值，得10分。</w:t>
      </w:r>
    </w:p>
    <w:p>
      <w:pPr>
        <w:pStyle w:val="28"/>
        <w:spacing w:line="276" w:lineRule="auto"/>
        <w:jc w:val="left"/>
        <w:rPr>
          <w:rFonts w:ascii="Times New Roman" w:hAnsi="Times New Roman"/>
          <w:sz w:val="21"/>
          <w:szCs w:val="21"/>
        </w:rPr>
      </w:pPr>
      <w:r>
        <w:rPr>
          <w:rFonts w:hint="eastAsia" w:ascii="Times New Roman" w:hAnsi="Times New Roman"/>
          <w:b/>
          <w:sz w:val="21"/>
          <w:szCs w:val="21"/>
        </w:rPr>
        <w:t>（2）《声环境质量标准》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3096-2008</w:t>
      </w:r>
      <w:r>
        <w:rPr>
          <w:rFonts w:hint="eastAsia" w:ascii="Times New Roman" w:hAnsi="Times New Roman"/>
          <w:sz w:val="21"/>
          <w:szCs w:val="21"/>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w:t>
      </w:r>
      <w:r>
        <w:rPr>
          <w:rFonts w:ascii="黑体" w:hAnsi="黑体" w:eastAsia="黑体"/>
          <w:kern w:val="0"/>
          <w:szCs w:val="20"/>
        </w:rPr>
        <w:t>.2-1</w:t>
      </w:r>
      <w:r>
        <w:rPr>
          <w:rFonts w:hint="eastAsia" w:ascii="黑体" w:hAnsi="黑体" w:eastAsia="黑体"/>
          <w:kern w:val="0"/>
          <w:szCs w:val="20"/>
        </w:rPr>
        <w:t xml:space="preserve">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声环境</w:t>
            </w:r>
          </w:p>
          <w:p>
            <w:pPr>
              <w:widowControl/>
              <w:jc w:val="center"/>
              <w:rPr>
                <w:rFonts w:ascii="Times New Roman" w:hAnsi="Times New Roman" w:cs="宋体"/>
                <w:color w:val="000000"/>
                <w:kern w:val="0"/>
                <w:szCs w:val="21"/>
              </w:rPr>
            </w:pPr>
            <w:r>
              <w:rPr>
                <w:rFonts w:hint="eastAsia" w:ascii="Times New Roman" w:hAnsi="Times New Roman" w:cs="宋体"/>
                <w:b/>
                <w:color w:val="000000"/>
                <w:kern w:val="0"/>
                <w:szCs w:val="21"/>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cs="宋体"/>
                <w:color w:val="000000"/>
                <w:kern w:val="0"/>
                <w:szCs w:val="21"/>
              </w:rPr>
            </w:pP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昼间</w:t>
            </w: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widowControl/>
              <w:jc w:val="left"/>
              <w:rPr>
                <w:rFonts w:ascii="Times New Roman" w:hAnsi="Times New Roman" w:cs="宋体"/>
                <w:color w:val="000000"/>
                <w:kern w:val="0"/>
                <w:sz w:val="22"/>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0类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指康复疗养区等特别需要安静的区域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1类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指以居民住宅、医疗卫生、文化教育、科研设计、行政办公为主要功能，需要保持安静的区域。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2类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指以商业金融、集市贸易为主要功能，或者居住、商业、 工业混杂，需要维护住宅安静的区域。 </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3类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4类</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4a类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widowControl/>
              <w:jc w:val="center"/>
              <w:rPr>
                <w:rFonts w:ascii="Times New Roman" w:hAnsi="Times New Roman"/>
                <w:color w:val="000000"/>
                <w:kern w:val="0"/>
                <w:szCs w:val="21"/>
              </w:rPr>
            </w:pPr>
          </w:p>
        </w:tc>
        <w:tc>
          <w:tcPr>
            <w:tcW w:w="502"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4b类</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3108" w:type="pct"/>
            <w:tcBorders>
              <w:top w:val="nil"/>
              <w:left w:val="nil"/>
              <w:bottom w:val="single" w:color="auto" w:sz="12"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2"/>
        <w:rPr>
          <w:rFonts w:ascii="Times New Roman" w:hAnsi="Times New Roman"/>
          <w:sz w:val="28"/>
          <w:szCs w:val="28"/>
        </w:rPr>
      </w:pPr>
      <w:bookmarkStart w:id="21" w:name="声功能区类别表格"/>
      <w:bookmarkEnd w:id="21"/>
      <w:bookmarkStart w:id="22" w:name="_Toc6446"/>
      <w:bookmarkStart w:id="23" w:name="_Toc479326721"/>
      <w:r>
        <w:rPr>
          <w:rFonts w:hint="eastAsia" w:ascii="Times New Roman" w:hAnsi="Times New Roman"/>
          <w:sz w:val="28"/>
          <w:szCs w:val="28"/>
        </w:rPr>
        <w:t>3.模拟</w:t>
      </w:r>
      <w:r>
        <w:rPr>
          <w:rFonts w:ascii="Times New Roman" w:hAnsi="Times New Roman"/>
          <w:sz w:val="28"/>
          <w:szCs w:val="28"/>
        </w:rPr>
        <w:t>方法</w:t>
      </w:r>
      <w:bookmarkEnd w:id="22"/>
      <w:bookmarkEnd w:id="23"/>
    </w:p>
    <w:p>
      <w:pPr>
        <w:pStyle w:val="3"/>
        <w:rPr>
          <w:sz w:val="24"/>
          <w:szCs w:val="24"/>
        </w:rPr>
      </w:pPr>
      <w:bookmarkStart w:id="24" w:name="_Toc479326722"/>
      <w:bookmarkStart w:id="25" w:name="_Toc30708"/>
      <w:r>
        <w:rPr>
          <w:rFonts w:hint="eastAsia"/>
          <w:sz w:val="24"/>
          <w:szCs w:val="24"/>
        </w:rPr>
        <w:t>3.1模拟软件</w:t>
      </w:r>
      <w:bookmarkEnd w:id="24"/>
      <w:bookmarkEnd w:id="25"/>
    </w:p>
    <w:p>
      <w:pPr>
        <w:pStyle w:val="33"/>
        <w:spacing w:line="276" w:lineRule="auto"/>
        <w:ind w:firstLine="420"/>
        <w:rPr>
          <w:rFonts w:cs="Times New Roman"/>
          <w:sz w:val="21"/>
          <w:szCs w:val="21"/>
        </w:rPr>
      </w:pPr>
      <w:bookmarkStart w:id="26"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id="0"/>
        </w:rPr>
        <w:t>》</w:t>
      </w:r>
      <w:r>
        <w:rPr>
          <w:rFonts w:cs="Times New Roman"/>
          <w:spacing w:val="-13"/>
          <w:kern w:val="0"/>
          <w:sz w:val="21"/>
          <w:szCs w:val="21"/>
          <w:fitText w:val="294" w:id="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7" w:name="_Toc5632"/>
      <w:r>
        <w:rPr>
          <w:rFonts w:hint="eastAsia"/>
          <w:sz w:val="24"/>
          <w:szCs w:val="24"/>
        </w:rPr>
        <w:t>3.2分析</w:t>
      </w:r>
      <w:r>
        <w:rPr>
          <w:sz w:val="24"/>
          <w:szCs w:val="24"/>
        </w:rPr>
        <w:t>模</w:t>
      </w:r>
      <w:r>
        <w:rPr>
          <w:rFonts w:hint="eastAsia"/>
          <w:sz w:val="24"/>
          <w:szCs w:val="24"/>
        </w:rPr>
        <w:t>型</w:t>
      </w:r>
      <w:bookmarkEnd w:id="26"/>
      <w:bookmarkEnd w:id="27"/>
    </w:p>
    <w:p>
      <w:pPr>
        <w:spacing w:line="276" w:lineRule="auto"/>
        <w:rPr>
          <w:rFonts w:ascii="Times New Roman" w:hAnsi="Times New Roman" w:cs="宋体"/>
          <w:szCs w:val="21"/>
        </w:rPr>
      </w:pPr>
      <w:r>
        <w:rPr>
          <w:rFonts w:ascii="Times New Roman" w:hAnsi="Times New Roman" w:cs="宋体"/>
          <w:szCs w:val="21"/>
        </w:rPr>
        <w:tab/>
      </w: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8" w:name="建设项目室外声环境分析模型平面图"/>
      <w:bookmarkEnd w:id="28"/>
      <w:r>
        <w:drawing>
          <wp:inline distT="0" distB="0" distL="0" distR="0">
            <wp:extent cx="5667375" cy="47244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
                    <a:stretch>
                      <a:fillRect/>
                    </a:stretch>
                  </pic:blipFill>
                  <pic:spPr>
                    <a:xfrm>
                      <a:off x="0" y="0"/>
                      <a:ext cx="5667375" cy="472440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9" w:name="_Toc4535"/>
      <w:bookmarkStart w:id="30" w:name="_Toc479326725"/>
      <w:r>
        <w:rPr>
          <w:rFonts w:hint="eastAsia"/>
          <w:sz w:val="24"/>
          <w:szCs w:val="24"/>
        </w:rPr>
        <w:t>3.</w:t>
      </w:r>
      <w:r>
        <w:rPr>
          <w:sz w:val="24"/>
          <w:szCs w:val="24"/>
        </w:rPr>
        <w:t>3</w:t>
      </w:r>
      <w:r>
        <w:rPr>
          <w:rFonts w:hint="eastAsia"/>
          <w:sz w:val="24"/>
          <w:szCs w:val="24"/>
        </w:rPr>
        <w:t xml:space="preserve"> 计算条件</w:t>
      </w:r>
      <w:bookmarkEnd w:id="29"/>
      <w:bookmarkEnd w:id="30"/>
    </w:p>
    <w:p>
      <w:pPr>
        <w:rPr>
          <w:rFonts w:ascii="宋体" w:hAnsi="宋体"/>
          <w:b/>
        </w:rPr>
      </w:pPr>
      <w:bookmarkStart w:id="31" w:name="计算条件"/>
      <w:r>
        <w:rPr>
          <w:rFonts w:hint="eastAsia" w:ascii="宋体" w:hAnsi="宋体"/>
          <w:b/>
        </w:rPr>
        <w:t>■ 网格设置</w:t>
      </w:r>
    </w:p>
    <w:p>
      <w:pPr>
        <w:rPr>
          <w:rFonts w:ascii="宋体" w:hAnsi="宋体"/>
          <w:b/>
        </w:rPr>
      </w:pPr>
      <w:r>
        <w:rPr>
          <w:rFonts w:ascii="宋体" w:hAnsi="宋体"/>
          <w:b/>
          <w:color w:val="000000"/>
        </w:rPr>
        <w:t xml:space="preserve">  平面网格间距：20×20 米</w:t>
      </w:r>
    </w:p>
    <w:p>
      <w:pPr>
        <w:rPr>
          <w:rFonts w:ascii="宋体" w:hAnsi="宋体"/>
          <w:b/>
        </w:rPr>
      </w:pPr>
      <w:r>
        <w:rPr>
          <w:rFonts w:ascii="宋体" w:hAnsi="宋体"/>
          <w:b/>
          <w:color w:val="000000"/>
        </w:rPr>
        <w:t xml:space="preserve">  平面网格离地高度：1.5 米</w:t>
      </w:r>
    </w:p>
    <w:p>
      <w:pPr>
        <w:rPr>
          <w:rFonts w:ascii="宋体" w:hAnsi="宋体"/>
          <w:b/>
        </w:rPr>
      </w:pPr>
      <w:r>
        <w:rPr>
          <w:rFonts w:ascii="宋体" w:hAnsi="宋体"/>
          <w:b/>
          <w:color w:val="000000"/>
        </w:rPr>
        <w:t xml:space="preserve">  立面网格间距：3×3 米</w:t>
      </w:r>
    </w:p>
    <w:p>
      <w:pPr>
        <w:rPr>
          <w:rFonts w:ascii="宋体" w:hAnsi="宋体"/>
          <w:b/>
        </w:rPr>
      </w:pPr>
    </w:p>
    <w:p>
      <w:pPr>
        <w:rPr>
          <w:rFonts w:ascii="宋体" w:hAnsi="宋体"/>
          <w:b/>
        </w:rPr>
      </w:pPr>
      <w:r>
        <w:rPr>
          <w:rFonts w:ascii="宋体" w:hAnsi="宋体"/>
          <w:b/>
          <w:color w:val="000000"/>
        </w:rPr>
        <w:t>■ 地面效应</w:t>
      </w:r>
    </w:p>
    <w:p>
      <w:pPr>
        <w:rPr>
          <w:rFonts w:ascii="宋体" w:hAnsi="宋体"/>
          <w:b/>
        </w:rPr>
      </w:pPr>
      <w:r>
        <w:rPr>
          <w:rFonts w:ascii="宋体" w:hAnsi="宋体"/>
          <w:b/>
          <w:color w:val="000000"/>
        </w:rPr>
        <w:t xml:space="preserve">  地面高度：0 米</w:t>
      </w:r>
    </w:p>
    <w:p>
      <w:pPr>
        <w:rPr>
          <w:rFonts w:ascii="宋体" w:hAnsi="宋体"/>
          <w:b/>
        </w:rPr>
      </w:pPr>
      <w:r>
        <w:rPr>
          <w:rFonts w:ascii="宋体" w:hAnsi="宋体"/>
          <w:b/>
          <w:color w:val="000000"/>
        </w:rPr>
        <w:t xml:space="preserve">  计算考虑地面效应</w:t>
      </w:r>
    </w:p>
    <w:p>
      <w:pPr>
        <w:rPr>
          <w:rFonts w:ascii="宋体" w:hAnsi="宋体"/>
          <w:b/>
        </w:rPr>
      </w:pPr>
      <w:r>
        <w:rPr>
          <w:rFonts w:ascii="宋体" w:hAnsi="宋体"/>
          <w:b/>
          <w:color w:val="000000"/>
        </w:rPr>
        <w:t xml:space="preserve">  地面效应计算方法：导则算法</w:t>
      </w:r>
    </w:p>
    <w:p>
      <w:pPr>
        <w:rPr>
          <w:rFonts w:ascii="宋体" w:hAnsi="宋体"/>
          <w:b/>
        </w:rPr>
      </w:pPr>
    </w:p>
    <w:p>
      <w:pPr>
        <w:rPr>
          <w:rFonts w:ascii="宋体" w:hAnsi="宋体"/>
          <w:b/>
        </w:rPr>
      </w:pPr>
      <w:r>
        <w:rPr>
          <w:rFonts w:ascii="宋体" w:hAnsi="宋体"/>
          <w:b/>
          <w:color w:val="000000"/>
        </w:rPr>
        <w:t>■ 噪声反射</w:t>
      </w:r>
    </w:p>
    <w:p>
      <w:pPr>
        <w:rPr>
          <w:rFonts w:ascii="宋体" w:hAnsi="宋体"/>
          <w:b/>
        </w:rPr>
      </w:pPr>
      <w:r>
        <w:rPr>
          <w:rFonts w:ascii="宋体" w:hAnsi="宋体"/>
          <w:b/>
          <w:color w:val="000000"/>
        </w:rPr>
        <w:t xml:space="preserve">  障碍物考虑的最大反射次数：1</w:t>
      </w:r>
    </w:p>
    <w:p>
      <w:pPr>
        <w:rPr>
          <w:rFonts w:ascii="宋体" w:hAnsi="宋体"/>
          <w:b/>
        </w:rPr>
      </w:pPr>
    </w:p>
    <w:p>
      <w:pPr>
        <w:rPr>
          <w:rFonts w:ascii="宋体" w:hAnsi="宋体"/>
          <w:b/>
        </w:rPr>
      </w:pPr>
      <w:r>
        <w:rPr>
          <w:rFonts w:ascii="宋体" w:hAnsi="宋体"/>
          <w:b/>
          <w:color w:val="000000"/>
        </w:rPr>
        <w:t>■ 空气吸收</w:t>
      </w:r>
    </w:p>
    <w:p>
      <w:pPr>
        <w:rPr>
          <w:rFonts w:ascii="宋体" w:hAnsi="宋体"/>
          <w:b/>
        </w:rPr>
      </w:pPr>
      <w:r>
        <w:rPr>
          <w:rFonts w:ascii="宋体" w:hAnsi="宋体"/>
          <w:b/>
          <w:color w:val="000000"/>
        </w:rPr>
        <w:t xml:space="preserve">  气压：101325Pa  气温：16℃  湿度：50%</w:t>
      </w:r>
    </w:p>
    <w:p>
      <w:pPr>
        <w:rPr>
          <w:rFonts w:ascii="宋体" w:hAnsi="宋体"/>
          <w:b/>
        </w:rPr>
      </w:pPr>
    </w:p>
    <w:p>
      <w:pPr>
        <w:rPr>
          <w:rFonts w:ascii="宋体" w:hAnsi="宋体"/>
          <w:b/>
        </w:rPr>
      </w:pPr>
      <w:r>
        <w:rPr>
          <w:rFonts w:ascii="宋体" w:hAnsi="宋体"/>
          <w:b/>
          <w:color w:val="000000"/>
        </w:rPr>
        <w:t>■ 达标统计</w:t>
      </w:r>
    </w:p>
    <w:p>
      <w:pPr>
        <w:rPr>
          <w:rFonts w:ascii="宋体" w:hAnsi="宋体"/>
          <w:b/>
        </w:rPr>
      </w:pPr>
      <w:r>
        <w:rPr>
          <w:rFonts w:ascii="宋体" w:hAnsi="宋体"/>
          <w:b/>
          <w:color w:val="000000"/>
        </w:rPr>
        <w:t xml:space="preserve">  建筑物噪声最大值统计方式</w:t>
      </w:r>
    </w:p>
    <w:p>
      <w:pPr>
        <w:rPr>
          <w:rFonts w:ascii="宋体" w:hAnsi="宋体"/>
          <w:b/>
        </w:rPr>
      </w:pPr>
      <w:r>
        <w:rPr>
          <w:rFonts w:ascii="宋体" w:hAnsi="宋体"/>
          <w:b/>
          <w:color w:val="000000"/>
        </w:rPr>
        <w:t xml:space="preserve">    取距离建筑物底标高1.5米沿线点</w:t>
      </w:r>
    </w:p>
    <w:p>
      <w:pPr>
        <w:rPr>
          <w:rFonts w:ascii="宋体" w:hAnsi="宋体"/>
          <w:b/>
        </w:rPr>
      </w:pPr>
      <w:r>
        <w:rPr>
          <w:rFonts w:ascii="宋体" w:hAnsi="宋体"/>
          <w:b/>
          <w:color w:val="000000"/>
        </w:rPr>
        <w:t xml:space="preserve">  场地环境噪声达标统计方式</w:t>
      </w:r>
    </w:p>
    <w:p>
      <w:pPr>
        <w:rPr>
          <w:rFonts w:ascii="宋体" w:hAnsi="宋体"/>
          <w:b/>
        </w:rPr>
      </w:pPr>
      <w:r>
        <w:rPr>
          <w:rFonts w:ascii="宋体" w:hAnsi="宋体"/>
          <w:b/>
          <w:color w:val="000000"/>
        </w:rPr>
        <w:t xml:space="preserve">    场地内命名参评建筑物全部达标</w:t>
      </w:r>
    </w:p>
    <w:bookmarkEnd w:id="31"/>
    <w:p>
      <w:pPr>
        <w:pStyle w:val="3"/>
        <w:rPr>
          <w:sz w:val="24"/>
          <w:szCs w:val="24"/>
        </w:rPr>
      </w:pPr>
      <w:bookmarkStart w:id="32" w:name="_Toc479326726"/>
      <w:bookmarkStart w:id="33" w:name="_Toc20017"/>
      <w:r>
        <w:rPr>
          <w:rFonts w:hint="eastAsia"/>
          <w:sz w:val="24"/>
          <w:szCs w:val="24"/>
        </w:rPr>
        <w:t>3.</w:t>
      </w:r>
      <w:r>
        <w:rPr>
          <w:sz w:val="24"/>
          <w:szCs w:val="24"/>
        </w:rPr>
        <w:t>4</w:t>
      </w:r>
      <w:r>
        <w:rPr>
          <w:rFonts w:hint="eastAsia"/>
          <w:sz w:val="24"/>
          <w:szCs w:val="24"/>
        </w:rPr>
        <w:t>参数</w:t>
      </w:r>
      <w:r>
        <w:rPr>
          <w:sz w:val="24"/>
          <w:szCs w:val="24"/>
        </w:rPr>
        <w:t>设置</w:t>
      </w:r>
      <w:bookmarkEnd w:id="32"/>
      <w:bookmarkEnd w:id="33"/>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ind w:firstLine="420"/>
        <w:jc w:val="right"/>
      </w:pPr>
      <w:bookmarkStart w:id="34" w:name="声源表"/>
      <w:r>
        <w:rPr>
          <w:sz w:val="24"/>
          <w:szCs w:val="24"/>
        </w:rPr>
        <w:t>表3.5-1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30</w:t>
            </w:r>
          </w:p>
        </w:tc>
        <w:tc>
          <w:tcPr>
            <w:vAlign w:val="center"/>
          </w:tcPr>
          <w:p>
            <w:pPr>
              <w:jc w:val="center"/>
            </w:pPr>
            <w:r>
              <w:t>10</w:t>
            </w:r>
          </w:p>
        </w:tc>
        <w:tc>
          <w:tcPr>
            <w:vAlign w:val="center"/>
          </w:tcPr>
          <w:p>
            <w:pPr>
              <w:jc w:val="center"/>
            </w:pPr>
            <w:r>
              <w:t>61</w:t>
            </w:r>
          </w:p>
        </w:tc>
        <w:tc>
          <w:tcPr>
            <w:vAlign w:val="center"/>
          </w:tcPr>
          <w:p>
            <w:pPr>
              <w:jc w:val="center"/>
            </w:pPr>
            <w:r>
              <w:t>0</w:t>
            </w:r>
          </w:p>
        </w:tc>
        <w:tc>
          <w:tcPr>
            <w:vAlign w:val="center"/>
          </w:tcPr>
          <w:p>
            <w:pPr>
              <w:jc w:val="center"/>
            </w:pPr>
            <w:r>
              <w:t>59</w:t>
            </w:r>
          </w:p>
        </w:tc>
        <w:tc>
          <w:tcPr>
            <w:vAlign w:val="center"/>
          </w:tcPr>
          <w:p>
            <w:pPr>
              <w:jc w:val="center"/>
            </w:pPr>
            <w:r>
              <w:t>0</w:t>
            </w:r>
          </w:p>
        </w:tc>
        <w:tc>
          <w:tcPr>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5</w:t>
            </w:r>
          </w:p>
        </w:tc>
        <w:tc>
          <w:tcPr>
            <w:vAlign w:val="center"/>
          </w:tcPr>
          <w:p>
            <w:pPr>
              <w:jc w:val="center"/>
            </w:pPr>
            <w:r>
              <w:t>61</w:t>
            </w:r>
          </w:p>
        </w:tc>
        <w:tc>
          <w:tcPr>
            <w:vAlign w:val="center"/>
          </w:tcPr>
          <w:p>
            <w:pPr>
              <w:jc w:val="center"/>
            </w:pPr>
            <w:r>
              <w:t>0</w:t>
            </w:r>
          </w:p>
        </w:tc>
        <w:tc>
          <w:tcPr>
            <w:vAlign w:val="center"/>
          </w:tcPr>
          <w:p>
            <w:pPr>
              <w:jc w:val="center"/>
            </w:pPr>
            <w:r>
              <w:t>59</w:t>
            </w:r>
          </w:p>
        </w:tc>
        <w:tc>
          <w:tcPr>
            <w:vAlign w:val="center"/>
          </w:tcPr>
          <w:p>
            <w:pPr>
              <w:jc w:val="center"/>
            </w:pPr>
            <w:r>
              <w:t>0</w:t>
            </w:r>
          </w:p>
        </w:tc>
        <w:tc>
          <w:tcPr>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水泥</w:t>
            </w:r>
            <w:r>
              <w:br w:type="textWrapping"/>
            </w:r>
            <w:r>
              <w:t>混凝土</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71</w:t>
            </w:r>
          </w:p>
        </w:tc>
        <w:tc>
          <w:tcPr>
            <w:vAlign w:val="center"/>
          </w:tcPr>
          <w:p>
            <w:pPr>
              <w:jc w:val="center"/>
            </w:pPr>
            <w:r>
              <w:t>50</w:t>
            </w:r>
          </w:p>
        </w:tc>
        <w:tc>
          <w:tcPr>
            <w:vAlign w:val="center"/>
          </w:tcPr>
          <w:p>
            <w:pPr>
              <w:jc w:val="center"/>
            </w:pPr>
            <w:r>
              <w:t>72</w:t>
            </w:r>
          </w:p>
        </w:tc>
        <w:tc>
          <w:tcPr>
            <w:vAlign w:val="center"/>
          </w:tcPr>
          <w:p>
            <w:pPr>
              <w:jc w:val="center"/>
            </w:pPr>
            <w:r>
              <w:t>0</w:t>
            </w:r>
          </w:p>
        </w:tc>
        <w:tc>
          <w:tcPr>
            <w:vAlign w:val="center"/>
          </w:tcPr>
          <w:p>
            <w:pPr>
              <w:jc w:val="center"/>
            </w:pPr>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72</w:t>
            </w:r>
          </w:p>
        </w:tc>
        <w:tc>
          <w:tcPr>
            <w:vAlign w:val="center"/>
          </w:tcPr>
          <w:p>
            <w:pPr>
              <w:jc w:val="center"/>
            </w:pPr>
            <w:r>
              <w:t>0</w:t>
            </w:r>
          </w:p>
        </w:tc>
        <w:tc>
          <w:tcPr>
            <w:vAlign w:val="center"/>
          </w:tcPr>
          <w:p>
            <w:pPr>
              <w:jc w:val="center"/>
            </w:pPr>
            <w:r>
              <w:t>78</w:t>
            </w:r>
          </w:p>
        </w:tc>
      </w:tr>
    </w:tbl>
    <w:p>
      <w:pPr>
        <w:ind w:firstLine="420"/>
        <w:jc w:val="right"/>
      </w:pPr>
    </w:p>
    <w:bookmarkEnd w:id="34"/>
    <w:p>
      <w:pPr>
        <w:pStyle w:val="2"/>
        <w:spacing w:line="400" w:lineRule="exact"/>
        <w:rPr>
          <w:rFonts w:ascii="Times New Roman" w:hAnsi="Times New Roman"/>
          <w:sz w:val="28"/>
          <w:szCs w:val="28"/>
        </w:rPr>
      </w:pPr>
      <w:bookmarkStart w:id="35" w:name="_Toc13905"/>
      <w:bookmarkStart w:id="36" w:name="_Toc479326727"/>
      <w:r>
        <w:rPr>
          <w:rFonts w:hint="eastAsia" w:ascii="Times New Roman" w:hAnsi="Times New Roman"/>
          <w:sz w:val="28"/>
          <w:szCs w:val="28"/>
        </w:rPr>
        <w:t>4.模拟结果</w:t>
      </w:r>
      <w:r>
        <w:rPr>
          <w:rFonts w:ascii="Times New Roman" w:hAnsi="Times New Roman"/>
          <w:sz w:val="28"/>
          <w:szCs w:val="28"/>
        </w:rPr>
        <w:t>及分析</w:t>
      </w:r>
      <w:bookmarkEnd w:id="35"/>
      <w:bookmarkEnd w:id="36"/>
    </w:p>
    <w:p>
      <w:pPr>
        <w:ind w:firstLine="420" w:firstLineChars="200"/>
        <w:rPr>
          <w:rFonts w:ascii="Times New Roman" w:hAnsi="Times New Roman" w:cs="宋体"/>
          <w:szCs w:val="21"/>
        </w:rPr>
      </w:pPr>
      <w:bookmarkStart w:id="37" w:name="_Toc479326728"/>
      <w:r>
        <w:rPr>
          <w:rFonts w:hint="eastAsia" w:ascii="Times New Roman" w:hAnsi="Times New Roman" w:cs="宋体"/>
          <w:szCs w:val="21"/>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8" w:name="_Toc24565"/>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7"/>
      <w:bookmarkEnd w:id="38"/>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9" w:name="场地分布图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40" w:name="场地分布图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41" w:name="场地噪声分布俯瞰昼"/>
      <w:bookmarkEnd w:id="41"/>
      <w:r>
        <w:drawing>
          <wp:inline distT="0" distB="0" distL="0" distR="0">
            <wp:extent cx="5667375" cy="5086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2" w:name="场地噪声分布俯瞰夜"/>
      <w:bookmarkEnd w:id="42"/>
      <w:r>
        <w:drawing>
          <wp:inline distT="0" distB="0" distL="0" distR="0">
            <wp:extent cx="5667375" cy="5086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3" w:name="_Toc479326729"/>
      <w:bookmarkStart w:id="44" w:name="_Toc19696"/>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3"/>
      <w:r>
        <w:rPr>
          <w:rFonts w:hint="eastAsia"/>
          <w:sz w:val="24"/>
          <w:szCs w:val="24"/>
        </w:rPr>
        <w:t>情况</w:t>
      </w:r>
      <w:bookmarkEnd w:id="44"/>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5" w:name="建筑附近声压分布图昼"/>
      <w:bookmarkEnd w:id="45"/>
      <w:r>
        <w:drawing>
          <wp:inline distT="0" distB="0" distL="0" distR="0">
            <wp:extent cx="5667375" cy="67246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4"/>
                    <a:stretch>
                      <a:fillRect/>
                    </a:stretch>
                  </pic:blipFill>
                  <pic:spPr>
                    <a:xfrm>
                      <a:off x="0" y="0"/>
                      <a:ext cx="5667375" cy="6724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6" w:name="建筑附近声压分布图夜"/>
      <w:bookmarkEnd w:id="46"/>
      <w:r>
        <w:drawing>
          <wp:inline distT="0" distB="0" distL="0" distR="0">
            <wp:extent cx="5667375" cy="67246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4"/>
                    <a:stretch>
                      <a:fillRect/>
                    </a:stretch>
                  </pic:blipFill>
                  <pic:spPr>
                    <a:xfrm>
                      <a:off x="0" y="0"/>
                      <a:ext cx="5667375" cy="67246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7" w:name="建筑附近声压分布鸟瞰图昼"/>
      <w:r>
        <w:drawing>
          <wp:inline distT="0" distB="0" distL="0" distR="0">
            <wp:extent cx="5667375" cy="25622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6"/>
                    <a:stretch>
                      <a:fillRect/>
                    </a:stretch>
                  </pic:blipFill>
                  <pic:spPr>
                    <a:xfrm>
                      <a:off x="0" y="0"/>
                      <a:ext cx="5667375" cy="2562225"/>
                    </a:xfrm>
                    <a:prstGeom prst="rect">
                      <a:avLst/>
                    </a:prstGeom>
                  </pic:spPr>
                </pic:pic>
              </a:graphicData>
            </a:graphic>
          </wp:inline>
        </w:drawing>
      </w:r>
    </w:p>
    <w:bookmarkEnd w:id="47"/>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8" w:name="建筑附近声压分布鸟瞰图夜"/>
      <w:bookmarkEnd w:id="48"/>
      <w:r>
        <w:drawing>
          <wp:inline distT="0" distB="0" distL="0" distR="0">
            <wp:extent cx="5667375" cy="25622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7"/>
                    <a:stretch>
                      <a:fillRect/>
                    </a:stretch>
                  </pic:blipFill>
                  <pic:spPr>
                    <a:xfrm>
                      <a:off x="0" y="0"/>
                      <a:ext cx="5667375" cy="25622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autoSpaceDE w:val="0"/>
        <w:autoSpaceDN w:val="0"/>
        <w:adjustRightInd w:val="0"/>
        <w:spacing w:line="400" w:lineRule="exact"/>
        <w:jc w:val="center"/>
        <w:rPr>
          <w:rFonts w:ascii="Times New Roman" w:hAnsi="Times New Roman" w:eastAsia="华文楷体" w:cs="宋体"/>
          <w:szCs w:val="21"/>
        </w:rPr>
      </w:pPr>
    </w:p>
    <w:p>
      <w:pPr>
        <w:widowControl/>
        <w:spacing w:line="276" w:lineRule="auto"/>
        <w:ind w:firstLine="420"/>
        <w:jc w:val="left"/>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建筑名称</w:t>
            </w:r>
          </w:p>
        </w:tc>
        <w:tc>
          <w:tcPr>
            <w:shd w:val="clear" w:color="auto" w:fill="E6E6E6"/>
            <w:vAlign w:val="center"/>
          </w:tcPr>
          <w:p>
            <w:pPr>
              <w:jc w:val="center"/>
            </w:pPr>
            <w:r>
              <w:rPr>
                <w:b/>
              </w:rPr>
              <w:t>时段</w:t>
            </w:r>
          </w:p>
        </w:tc>
        <w:tc>
          <w:tcPr>
            <w:shd w:val="clear" w:color="auto" w:fill="E6E6E6"/>
            <w:vAlign w:val="center"/>
          </w:tcPr>
          <w:p>
            <w:pPr>
              <w:jc w:val="center"/>
            </w:pPr>
            <w:r>
              <w:rPr>
                <w:b/>
              </w:rPr>
              <w:t>1.5米高度</w:t>
            </w:r>
            <w:r>
              <w:rPr>
                <w:b/>
              </w:rPr>
              <w:br w:type="textWrapping"/>
            </w:r>
            <w:r>
              <w:rPr>
                <w:b/>
              </w:rPr>
              <w:t>噪声最大值</w:t>
            </w:r>
          </w:p>
        </w:tc>
        <w:tc>
          <w:tcPr>
            <w:shd w:val="clear" w:color="auto" w:fill="E6E6E6"/>
            <w:vAlign w:val="center"/>
          </w:tcPr>
          <w:p>
            <w:pPr>
              <w:jc w:val="center"/>
            </w:pPr>
            <w:r>
              <w:rPr>
                <w:b/>
              </w:rPr>
              <w:t>2类</w:t>
            </w:r>
            <w:r>
              <w:rPr>
                <w:b/>
              </w:rPr>
              <w:br w:type="textWrapping"/>
            </w:r>
            <w:r>
              <w:rPr>
                <w:b/>
              </w:rPr>
              <w:t>噪声限值</w:t>
            </w:r>
          </w:p>
        </w:tc>
        <w:tc>
          <w:tcPr>
            <w:shd w:val="clear" w:color="auto" w:fill="E6E6E6"/>
            <w:vAlign w:val="center"/>
          </w:tcPr>
          <w:p>
            <w:pPr>
              <w:jc w:val="center"/>
            </w:pPr>
            <w:r>
              <w:rPr>
                <w:b/>
              </w:rPr>
              <w:t>3类</w:t>
            </w:r>
            <w:r>
              <w:rPr>
                <w:b/>
              </w:rPr>
              <w:br w:type="textWrapping"/>
            </w:r>
            <w:r>
              <w:rPr>
                <w:b/>
              </w:rPr>
              <w:t>噪声限值</w:t>
            </w:r>
          </w:p>
        </w:tc>
        <w:tc>
          <w:tcPr>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室内分析单体DT</w:t>
            </w:r>
          </w:p>
        </w:tc>
        <w:tc>
          <w:tcPr>
            <w:vAlign w:val="center"/>
          </w:tcPr>
          <w:p>
            <w:pPr>
              <w:jc w:val="center"/>
            </w:pPr>
            <w:r>
              <w:rPr>
                <w:b/>
              </w:rPr>
              <w:t>昼间</w:t>
            </w:r>
          </w:p>
        </w:tc>
        <w:tc>
          <w:tcPr>
            <w:vAlign w:val="center"/>
          </w:tcPr>
          <w:p>
            <w:pPr>
              <w:jc w:val="center"/>
            </w:pPr>
            <w:r>
              <w:t>48</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rPr>
                <w:b/>
              </w:rPr>
              <w:t>夜间</w:t>
            </w:r>
          </w:p>
        </w:tc>
        <w:tc>
          <w:tcPr>
            <w:vAlign w:val="center"/>
          </w:tcPr>
          <w:p>
            <w:pPr>
              <w:jc w:val="center"/>
            </w:pPr>
            <w:r>
              <w:t>42</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szCs w:val="21"/>
        </w:rPr>
      </w:pPr>
      <w:bookmarkStart w:id="49" w:name="建筑物噪声最大值统计表格"/>
      <w:bookmarkEnd w:id="49"/>
    </w:p>
    <w:p>
      <w:pPr>
        <w:pStyle w:val="2"/>
        <w:rPr>
          <w:rFonts w:ascii="Times New Roman" w:hAnsi="Times New Roman"/>
          <w:sz w:val="28"/>
          <w:szCs w:val="28"/>
        </w:rPr>
      </w:pPr>
      <w:bookmarkStart w:id="50" w:name="_Toc22652"/>
      <w:bookmarkStart w:id="51" w:name="_Toc479326730"/>
      <w:r>
        <w:rPr>
          <w:rFonts w:hint="eastAsia" w:ascii="Times New Roman" w:hAnsi="Times New Roman"/>
          <w:sz w:val="28"/>
          <w:szCs w:val="28"/>
        </w:rPr>
        <w:t>5.结论</w:t>
      </w:r>
      <w:bookmarkEnd w:id="50"/>
      <w:bookmarkEnd w:id="51"/>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2</w:t>
            </w:r>
            <w:r>
              <w:rPr>
                <w:rFonts w:hint="eastAsia"/>
                <w:b/>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3</w:t>
            </w:r>
            <w:r>
              <w:rPr>
                <w:rFonts w:hint="eastAsia"/>
                <w:b/>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rPr>
                <w:b/>
              </w:rPr>
            </w:pPr>
            <w:r>
              <w:rPr>
                <w:rFonts w:hint="eastAsia"/>
                <w:b/>
              </w:rPr>
              <w:t>昼间</w:t>
            </w:r>
          </w:p>
        </w:tc>
        <w:tc>
          <w:tcPr>
            <w:tcW w:w="1659" w:type="dxa"/>
            <w:tcBorders>
              <w:top w:val="single" w:color="000000" w:themeColor="text1" w:sz="6" w:space="0"/>
            </w:tcBorders>
          </w:tcPr>
          <w:p>
            <w:pPr>
              <w:jc w:val="center"/>
              <w:rPr>
                <w:b/>
              </w:rPr>
            </w:pPr>
            <w:bookmarkStart w:id="52" w:name="昼间噪声最大值"/>
            <w:r>
              <w:rPr>
                <w:bCs/>
              </w:rPr>
              <w:t>48</w:t>
            </w:r>
            <w:bookmarkEnd w:id="52"/>
          </w:p>
        </w:tc>
        <w:tc>
          <w:tcPr>
            <w:tcW w:w="1659" w:type="dxa"/>
            <w:tcBorders>
              <w:top w:val="single" w:color="000000" w:themeColor="text1" w:sz="6" w:space="0"/>
            </w:tcBorders>
          </w:tcPr>
          <w:p>
            <w:pPr>
              <w:jc w:val="center"/>
              <w:rPr>
                <w:b/>
              </w:rPr>
            </w:pPr>
            <w:r>
              <w:rPr>
                <w:bCs/>
              </w:rPr>
              <w:t>60</w:t>
            </w:r>
          </w:p>
        </w:tc>
        <w:tc>
          <w:tcPr>
            <w:tcW w:w="1659" w:type="dxa"/>
            <w:tcBorders>
              <w:top w:val="single" w:color="000000" w:themeColor="text1" w:sz="6" w:space="0"/>
            </w:tcBorders>
          </w:tcPr>
          <w:p>
            <w:pPr>
              <w:jc w:val="center"/>
              <w:rPr>
                <w:b/>
              </w:rPr>
            </w:pPr>
            <w:r>
              <w:rPr>
                <w:bCs/>
              </w:rPr>
              <w:t>65</w:t>
            </w:r>
          </w:p>
        </w:tc>
        <w:tc>
          <w:tcPr>
            <w:tcW w:w="1660" w:type="dxa"/>
            <w:vMerge w:val="restart"/>
            <w:tcBorders>
              <w:top w:val="single" w:color="000000" w:themeColor="text1" w:sz="6" w:space="0"/>
            </w:tcBorders>
            <w:vAlign w:val="center"/>
          </w:tcPr>
          <w:p>
            <w:pPr>
              <w:jc w:val="center"/>
              <w:rPr>
                <w:b/>
              </w:rPr>
            </w:pPr>
            <w:bookmarkStart w:id="53" w:name="得分情况"/>
            <w:r>
              <w:rPr>
                <w:b/>
              </w:rPr>
              <w:t>10</w:t>
            </w:r>
            <w:bookmarkEnd w:id="53"/>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rPr>
                <w:b/>
              </w:rPr>
            </w:pPr>
            <w:r>
              <w:rPr>
                <w:rFonts w:hint="eastAsia"/>
                <w:b/>
              </w:rPr>
              <w:t>夜间</w:t>
            </w:r>
          </w:p>
        </w:tc>
        <w:tc>
          <w:tcPr>
            <w:tcW w:w="1659" w:type="dxa"/>
          </w:tcPr>
          <w:p>
            <w:pPr>
              <w:jc w:val="center"/>
              <w:rPr>
                <w:b/>
              </w:rPr>
            </w:pPr>
            <w:bookmarkStart w:id="54" w:name="夜间噪声最大值"/>
            <w:r>
              <w:rPr>
                <w:bCs/>
              </w:rPr>
              <w:t>42</w:t>
            </w:r>
            <w:bookmarkEnd w:id="54"/>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spacing w:line="276" w:lineRule="auto"/>
        <w:ind w:firstLine="420" w:firstLineChars="200"/>
        <w:rPr>
          <w:rFonts w:ascii="Times New Roman" w:hAnsi="Times New Roman"/>
          <w:szCs w:val="21"/>
        </w:rPr>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的有关规定，评价分值为</w:t>
      </w:r>
      <w:r>
        <w:rPr>
          <w:rFonts w:ascii="Times New Roman" w:hAnsi="Times New Roman"/>
          <w:szCs w:val="21"/>
        </w:rPr>
        <w:t xml:space="preserve"> 10 </w:t>
      </w:r>
      <w:r>
        <w:rPr>
          <w:rFonts w:hint="eastAsia" w:ascii="Times New Roman" w:hAnsi="Times New Roman"/>
          <w:szCs w:val="21"/>
        </w:rPr>
        <w:t>分。</w:t>
      </w:r>
    </w:p>
    <w:p>
      <w:pPr>
        <w:pStyle w:val="33"/>
        <w:ind w:firstLine="420"/>
        <w:rPr>
          <w:sz w:val="21"/>
          <w:szCs w:val="21"/>
        </w:rPr>
      </w:pPr>
      <w:r>
        <w:rPr>
          <w:rFonts w:hint="eastAsia" w:ascii="宋体" w:hAnsi="Calibri"/>
          <w:sz w:val="21"/>
          <w:szCs w:val="21"/>
        </w:rPr>
        <w:t>综上所述，经过软件模拟和结果统计分析，最终判定本项目</w:t>
      </w:r>
      <w:bookmarkStart w:id="55" w:name="满足结论"/>
      <w:r>
        <w:rPr>
          <w:rFonts w:hint="eastAsia"/>
          <w:b/>
        </w:rPr>
        <w:t>满足</w:t>
      </w:r>
      <w:bookmarkEnd w:id="55"/>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6" w:name="得分结论"/>
      <w:r>
        <w:rPr>
          <w:b/>
          <w:sz w:val="21"/>
          <w:szCs w:val="21"/>
        </w:rPr>
        <w:t>得 10 分</w:t>
      </w:r>
      <w:bookmarkEnd w:id="56"/>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rFonts w:ascii="Times New Roman" w:hAnsi="Times New Roman"/>
        <w:color w:val="0000FF"/>
        <w:kern w:val="0"/>
        <w:sz w:val="21"/>
        <w:szCs w:val="20"/>
        <w:lang w:val="en-GB"/>
      </w:rPr>
      <w:t>http://www.gbsware.cn/</w:t>
    </w:r>
    <w:r>
      <w:rPr>
        <w:rFonts w:ascii="Times New Roman" w:hAnsi="Times New Roman"/>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3</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0335B"/>
    <w:multiLevelType w:val="multilevel"/>
    <w:tmpl w:val="367033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DD5913"/>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145366A8"/>
    <w:rsid w:val="2B62761D"/>
    <w:rsid w:val="64DD59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pPr>
      <w:jc w:val="left"/>
    </w:pPr>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jc w:val="left"/>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snapToGrid w:val="0"/>
      <w:jc w:val="left"/>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jc w:val="left"/>
    </w:pPr>
    <w:rPr>
      <w:rFonts w:ascii="Times New Roman" w:hAnsi="Times New Roman"/>
      <w:b/>
      <w:bCs/>
      <w:szCs w:val="24"/>
    </w:rPr>
  </w:style>
  <w:style w:type="paragraph" w:styleId="13">
    <w:name w:val="toc 2"/>
    <w:basedOn w:val="1"/>
    <w:next w:val="1"/>
    <w:qFormat/>
    <w:uiPriority w:val="39"/>
    <w:pPr>
      <w:widowControl/>
      <w:tabs>
        <w:tab w:val="left" w:pos="540"/>
        <w:tab w:val="right" w:leader="dot" w:pos="9360"/>
      </w:tabs>
      <w:spacing w:line="360" w:lineRule="exact"/>
      <w:ind w:left="200"/>
      <w:jc w:val="left"/>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Char"/>
    <w:link w:val="11"/>
    <w:qFormat/>
    <w:uiPriority w:val="99"/>
    <w:rPr>
      <w:sz w:val="18"/>
      <w:szCs w:val="18"/>
    </w:rPr>
  </w:style>
  <w:style w:type="character" w:customStyle="1" w:styleId="22">
    <w:name w:val="页脚 Char"/>
    <w:link w:val="10"/>
    <w:uiPriority w:val="99"/>
    <w:rPr>
      <w:sz w:val="18"/>
      <w:szCs w:val="18"/>
    </w:rPr>
  </w:style>
  <w:style w:type="character" w:customStyle="1" w:styleId="23">
    <w:name w:val="标题 1 Char"/>
    <w:link w:val="2"/>
    <w:uiPriority w:val="9"/>
    <w:rPr>
      <w:b/>
      <w:bCs/>
      <w:kern w:val="44"/>
      <w:sz w:val="44"/>
      <w:szCs w:val="44"/>
    </w:rPr>
  </w:style>
  <w:style w:type="character" w:customStyle="1" w:styleId="24">
    <w:name w:val="标题 2 Char"/>
    <w:link w:val="3"/>
    <w:uiPriority w:val="9"/>
    <w:rPr>
      <w:rFonts w:ascii="Cambria" w:hAnsi="Cambria" w:eastAsia="宋体" w:cs="Times New Roman"/>
      <w:b/>
      <w:bCs/>
      <w:sz w:val="32"/>
      <w:szCs w:val="32"/>
    </w:rPr>
  </w:style>
  <w:style w:type="paragraph" w:styleId="25">
    <w:name w:val="List Paragraph"/>
    <w:basedOn w:val="1"/>
    <w:qFormat/>
    <w:uiPriority w:val="34"/>
    <w:pPr>
      <w:ind w:firstLine="420" w:firstLineChars="200"/>
    </w:pPr>
  </w:style>
  <w:style w:type="character" w:customStyle="1" w:styleId="26">
    <w:name w:val="标题 3 Char"/>
    <w:link w:val="4"/>
    <w:qFormat/>
    <w:uiPriority w:val="9"/>
    <w:rPr>
      <w:b/>
      <w:bCs/>
      <w:sz w:val="32"/>
      <w:szCs w:val="32"/>
    </w:rPr>
  </w:style>
  <w:style w:type="character" w:customStyle="1" w:styleId="27">
    <w:name w:val="标题 4 Char"/>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uiPriority w:val="9"/>
    <w:rPr>
      <w:b/>
      <w:bCs/>
      <w:sz w:val="28"/>
      <w:szCs w:val="28"/>
    </w:rPr>
  </w:style>
  <w:style w:type="character" w:customStyle="1" w:styleId="30">
    <w:name w:val="批注文字 Char"/>
    <w:basedOn w:val="17"/>
    <w:link w:val="7"/>
    <w:semiHidden/>
    <w:uiPriority w:val="99"/>
  </w:style>
  <w:style w:type="character" w:customStyle="1" w:styleId="31">
    <w:name w:val="批注主题 Char"/>
    <w:link w:val="14"/>
    <w:semiHidden/>
    <w:uiPriority w:val="99"/>
    <w:rPr>
      <w:b/>
      <w:bCs/>
    </w:rPr>
  </w:style>
  <w:style w:type="character" w:customStyle="1" w:styleId="32">
    <w:name w:val="批注框文本 Char"/>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LZ\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6EA363-962F-4875-927E-FE91526868FA}">
  <ds:schemaRefs/>
</ds:datastoreItem>
</file>

<file path=docProps/app.xml><?xml version="1.0" encoding="utf-8"?>
<Properties xmlns="http://schemas.openxmlformats.org/officeDocument/2006/extended-properties" xmlns:vt="http://schemas.openxmlformats.org/officeDocument/2006/docPropsVTypes">
  <Template>tmp1.dotx</Template>
  <Pages>14</Pages>
  <Words>2564</Words>
  <Characters>3018</Characters>
  <Lines>27</Lines>
  <Paragraphs>7</Paragraphs>
  <TotalTime>0</TotalTime>
  <ScaleCrop>false</ScaleCrop>
  <LinksUpToDate>false</LinksUpToDate>
  <CharactersWithSpaces>3245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2020-12-26T01:49:00Z</dcterms:created>
  <dc:creator>萧琴响天下</dc:creator>
  <cp:lastModifiedBy>萧琴响天下</cp:lastModifiedBy>
  <dcterms:modified xsi:type="dcterms:W3CDTF">2021-01-04T14:30:04Z</dcterms:modified>
  <dc:title>zongtu_t8室外噪声分析报告</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