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hint="eastAsia"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vAlign w:val="top"/>
          </w:tcPr>
          <w:p>
            <w:pPr>
              <w:pStyle w:val="17"/>
              <w:tabs>
                <w:tab w:val="clear" w:pos="4153"/>
                <w:tab w:val="clear" w:pos="8306"/>
              </w:tabs>
              <w:snapToGrid/>
              <w:jc w:val="center"/>
              <w:rPr>
                <w:rFonts w:ascii="宋体" w:hAnsi="宋体" w:eastAsia="宋体" w:cs="Times New Roman"/>
                <w:sz w:val="21"/>
                <w:szCs w:val="21"/>
                <w:lang w:val="en-GB" w:eastAsia="zh-CN" w:bidi="ar-SA"/>
              </w:rPr>
            </w:pPr>
            <w:bookmarkStart w:id="1" w:name="项目名称"/>
            <w:r>
              <w:rPr>
                <w:rFonts w:hint="eastAsia"/>
                <w:sz w:val="21"/>
                <w:szCs w:val="21"/>
                <w:lang w:val="en-US" w:eastAsia="zh-CN"/>
              </w:rPr>
              <w:t>烟台</w:t>
            </w:r>
            <w:r>
              <w:rPr>
                <w:sz w:val="21"/>
                <w:szCs w:val="21"/>
              </w:rPr>
              <w:t>高新实验中学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vAlign w:val="top"/>
          </w:tcPr>
          <w:p>
            <w:pPr>
              <w:jc w:val="center"/>
              <w:rPr>
                <w:rFonts w:hint="default" w:ascii="宋体" w:hAnsi="宋体" w:eastAsia="宋体" w:cs="Times New Roman"/>
                <w:sz w:val="21"/>
                <w:szCs w:val="21"/>
                <w:lang w:val="en-US" w:eastAsia="zh-CN" w:bidi="ar-SA"/>
              </w:rPr>
            </w:pPr>
            <w:bookmarkStart w:id="2" w:name="项目地点"/>
            <w:r>
              <w:rPr>
                <w:rFonts w:hint="eastAsia" w:ascii="宋体" w:hAnsi="宋体" w:cs="Times New Roman"/>
                <w:sz w:val="21"/>
                <w:szCs w:val="21"/>
                <w:lang w:val="en-US" w:eastAsia="zh-CN" w:bidi="ar-SA"/>
              </w:rPr>
              <w:t>烟台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vAlign w:val="top"/>
          </w:tcPr>
          <w:p>
            <w:pPr>
              <w:jc w:val="center"/>
              <w:rPr>
                <w:rFonts w:ascii="宋体" w:hAnsi="宋体" w:eastAsia="宋体" w:cs="Times New Roman"/>
                <w:sz w:val="21"/>
                <w:szCs w:val="21"/>
                <w:lang w:val="en-GB" w:eastAsia="zh-CN" w:bidi="ar-SA"/>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vAlign w:val="top"/>
          </w:tcPr>
          <w:p>
            <w:pPr>
              <w:jc w:val="center"/>
              <w:rPr>
                <w:rFonts w:ascii="宋体" w:hAnsi="宋体" w:eastAsia="宋体" w:cs="Times New Roman"/>
                <w:sz w:val="21"/>
                <w:szCs w:val="21"/>
                <w:lang w:val="en-GB" w:eastAsia="zh-CN" w:bidi="ar-SA"/>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vAlign w:val="top"/>
          </w:tcPr>
          <w:p>
            <w:pPr>
              <w:jc w:val="center"/>
              <w:rPr>
                <w:rFonts w:ascii="宋体" w:hAnsi="宋体" w:eastAsia="宋体" w:cs="Times New Roman"/>
                <w:sz w:val="21"/>
                <w:szCs w:val="21"/>
                <w:lang w:val="en-GB" w:eastAsia="zh-CN" w:bidi="ar-SA"/>
              </w:rPr>
            </w:pPr>
            <w:bookmarkStart w:id="5" w:name="设计单位"/>
            <w:r>
              <w:rPr>
                <w:sz w:val="21"/>
                <w:szCs w:val="21"/>
              </w:rPr>
              <w:t>烟台大学建筑学院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2020年12月29日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北京绿建软件有限公司</w:t>
            </w:r>
          </w:p>
          <w:p>
            <w:pPr>
              <w:spacing w:line="240" w:lineRule="auto"/>
              <w:jc w:val="both"/>
              <w:rPr>
                <w:rFonts w:ascii="宋体" w:hAnsi="宋体"/>
                <w:szCs w:val="18"/>
              </w:rPr>
            </w:pPr>
            <w:r>
              <w:rPr>
                <w:rFonts w:hint="eastAsia" w:ascii="宋体" w:hAnsi="宋体"/>
                <w:szCs w:val="18"/>
              </w:rPr>
              <w:t>深圳市斯维尔科技有限公司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_Toc122 </w:instrText>
      </w:r>
      <w:r>
        <w:rPr>
          <w:rFonts w:ascii="宋体" w:hAnsi="宋体"/>
          <w:bCs w:val="0"/>
          <w:caps/>
        </w:rPr>
        <w:fldChar w:fldCharType="separate"/>
      </w:r>
      <w:r>
        <w:rPr>
          <w:rFonts w:hint="eastAsia"/>
        </w:rPr>
        <w:t>1 项目概况</w:t>
      </w:r>
      <w:r>
        <w:tab/>
      </w:r>
      <w:r>
        <w:fldChar w:fldCharType="begin"/>
      </w:r>
      <w:r>
        <w:instrText xml:space="preserve"> PAGEREF _Toc122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_Toc25178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_Toc25178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_Toc16996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_Toc16996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_Toc9334 </w:instrText>
      </w:r>
      <w:r>
        <w:fldChar w:fldCharType="separate"/>
      </w:r>
      <w:r>
        <w:rPr>
          <w:rFonts w:hint="eastAsia"/>
        </w:rPr>
        <w:t>2 计算</w:t>
      </w:r>
      <w:r>
        <w:t>依据</w:t>
      </w:r>
      <w:r>
        <w:tab/>
      </w:r>
      <w:r>
        <w:fldChar w:fldCharType="begin"/>
      </w:r>
      <w:r>
        <w:instrText xml:space="preserve"> PAGEREF _Toc9334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_Toc32291 </w:instrText>
      </w:r>
      <w:r>
        <w:fldChar w:fldCharType="separate"/>
      </w:r>
      <w:r>
        <w:rPr>
          <w:rFonts w:hint="eastAsia"/>
        </w:rPr>
        <w:t>3 参考</w:t>
      </w:r>
      <w:r>
        <w:t>标准</w:t>
      </w:r>
      <w:r>
        <w:tab/>
      </w:r>
      <w:r>
        <w:fldChar w:fldCharType="begin"/>
      </w:r>
      <w:r>
        <w:instrText xml:space="preserve"> PAGEREF _Toc32291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_Toc7712 </w:instrText>
      </w:r>
      <w:r>
        <w:fldChar w:fldCharType="separate"/>
      </w:r>
      <w:r>
        <w:rPr>
          <w:rFonts w:hint="eastAsia"/>
        </w:rPr>
        <w:t>4 计算原理</w:t>
      </w:r>
      <w:r>
        <w:tab/>
      </w:r>
      <w:r>
        <w:fldChar w:fldCharType="begin"/>
      </w:r>
      <w:r>
        <w:instrText xml:space="preserve"> PAGEREF _Toc7712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_Toc28937 </w:instrText>
      </w:r>
      <w:r>
        <w:fldChar w:fldCharType="separate"/>
      </w:r>
      <w:r>
        <w:rPr>
          <w:rFonts w:hint="eastAsia"/>
          <w:lang w:val="en-GB"/>
        </w:rPr>
        <w:t xml:space="preserve">4.1 </w:t>
      </w:r>
      <w:r>
        <w:rPr>
          <w:rFonts w:hint="eastAsia"/>
        </w:rPr>
        <w:t>风场计算域</w:t>
      </w:r>
      <w:r>
        <w:tab/>
      </w:r>
      <w:r>
        <w:fldChar w:fldCharType="begin"/>
      </w:r>
      <w:r>
        <w:instrText xml:space="preserve"> PAGEREF _Toc28937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_Toc29154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_Toc29154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_Toc3083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_Toc3083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_Toc2849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_Toc2849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_Toc31262 </w:instrText>
      </w:r>
      <w:r>
        <w:fldChar w:fldCharType="separate"/>
      </w:r>
      <w:r>
        <w:rPr>
          <w:rFonts w:hint="eastAsia"/>
          <w:lang w:val="en-GB"/>
        </w:rPr>
        <w:t xml:space="preserve">4.2 </w:t>
      </w:r>
      <w:r>
        <w:rPr>
          <w:rFonts w:hint="eastAsia"/>
        </w:rPr>
        <w:t>网格划分</w:t>
      </w:r>
      <w:r>
        <w:tab/>
      </w:r>
      <w:r>
        <w:fldChar w:fldCharType="begin"/>
      </w:r>
      <w:r>
        <w:instrText xml:space="preserve"> PAGEREF _Toc31262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_Toc10652 </w:instrText>
      </w:r>
      <w:r>
        <w:fldChar w:fldCharType="separate"/>
      </w:r>
      <w:r>
        <w:rPr>
          <w:rFonts w:hint="eastAsia"/>
          <w:lang w:val="en-GB"/>
        </w:rPr>
        <w:t xml:space="preserve">4.3 </w:t>
      </w:r>
      <w:r>
        <w:rPr>
          <w:rFonts w:hint="eastAsia"/>
        </w:rPr>
        <w:t>边界条件</w:t>
      </w:r>
      <w:r>
        <w:tab/>
      </w:r>
      <w:r>
        <w:fldChar w:fldCharType="begin"/>
      </w:r>
      <w:r>
        <w:instrText xml:space="preserve"> PAGEREF _Toc10652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_Toc8755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_Toc8755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_Toc28135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_Toc28135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_Toc19027 </w:instrText>
      </w:r>
      <w:r>
        <w:fldChar w:fldCharType="separate"/>
      </w:r>
      <w:r>
        <w:rPr>
          <w:rFonts w:hint="eastAsia"/>
          <w:lang w:val="en-GB"/>
        </w:rPr>
        <w:t xml:space="preserve">4.4 </w:t>
      </w:r>
      <w:r>
        <w:rPr>
          <w:rFonts w:hint="eastAsia"/>
        </w:rPr>
        <w:t>湍流模型</w:t>
      </w:r>
      <w:r>
        <w:tab/>
      </w:r>
      <w:r>
        <w:fldChar w:fldCharType="begin"/>
      </w:r>
      <w:r>
        <w:instrText xml:space="preserve"> PAGEREF _Toc19027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_Toc5793 </w:instrText>
      </w:r>
      <w:r>
        <w:fldChar w:fldCharType="separate"/>
      </w:r>
      <w:r>
        <w:rPr>
          <w:rFonts w:hint="eastAsia"/>
          <w:lang w:val="en-GB"/>
        </w:rPr>
        <w:t xml:space="preserve">4.5 </w:t>
      </w:r>
      <w:r>
        <w:rPr>
          <w:rFonts w:hint="eastAsia"/>
        </w:rPr>
        <w:t>求解计算</w:t>
      </w:r>
      <w:r>
        <w:tab/>
      </w:r>
      <w:r>
        <w:fldChar w:fldCharType="begin"/>
      </w:r>
      <w:r>
        <w:instrText xml:space="preserve"> PAGEREF _Toc5793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_Toc27763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_Toc27763 </w:instrText>
      </w:r>
      <w:r>
        <w:fldChar w:fldCharType="separate"/>
      </w:r>
      <w:r>
        <w:t>13</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_Toc4844 </w:instrText>
      </w:r>
      <w:r>
        <w:fldChar w:fldCharType="separate"/>
      </w:r>
      <w:r>
        <w:rPr>
          <w:rFonts w:hint="eastAsia"/>
        </w:rPr>
        <w:t>5 结果</w:t>
      </w:r>
      <w:r>
        <w:t>分析</w:t>
      </w:r>
      <w:r>
        <w:tab/>
      </w:r>
      <w:r>
        <w:fldChar w:fldCharType="begin"/>
      </w:r>
      <w:r>
        <w:instrText xml:space="preserve"> PAGEREF _Toc4844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_Toc2874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_Toc2874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_Toc449 </w:instrText>
      </w:r>
      <w:r>
        <w:fldChar w:fldCharType="separate"/>
      </w:r>
      <w:r>
        <w:rPr>
          <w:rFonts w:hint="eastAsia"/>
          <w:lang w:val="en-GB"/>
        </w:rPr>
        <w:t xml:space="preserve">5.2 </w:t>
      </w:r>
      <w:r>
        <w:rPr>
          <w:rFonts w:hint="eastAsia"/>
        </w:rPr>
        <w:t>冬季工况</w:t>
      </w:r>
      <w:r>
        <w:tab/>
      </w:r>
      <w:r>
        <w:fldChar w:fldCharType="begin"/>
      </w:r>
      <w:r>
        <w:instrText xml:space="preserve"> PAGEREF _Toc449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_Toc10373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_Toc10373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_Toc23327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_Toc23327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_Toc15568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_Toc15568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_Toc8368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_Toc8368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_Toc14820 </w:instrText>
      </w:r>
      <w:r>
        <w:fldChar w:fldCharType="separate"/>
      </w:r>
      <w:r>
        <w:rPr>
          <w:rFonts w:hint="eastAsia"/>
          <w:lang w:val="en-GB"/>
        </w:rPr>
        <w:t xml:space="preserve">5.3 </w:t>
      </w:r>
      <w:r>
        <w:rPr>
          <w:rFonts w:hint="eastAsia"/>
        </w:rPr>
        <w:t>夏季工况</w:t>
      </w:r>
      <w:r>
        <w:tab/>
      </w:r>
      <w:r>
        <w:fldChar w:fldCharType="begin"/>
      </w:r>
      <w:r>
        <w:instrText xml:space="preserve"> PAGEREF _Toc14820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_Toc16573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_Toc16573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_Toc4609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_Toc4609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_Toc5431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_Toc5431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_Toc27969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_Toc27969 </w:instrText>
      </w:r>
      <w:r>
        <w:fldChar w:fldCharType="separate"/>
      </w:r>
      <w:r>
        <w:t>20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_Toc11285 </w:instrText>
      </w:r>
      <w:r>
        <w:fldChar w:fldCharType="separate"/>
      </w:r>
      <w:r>
        <w:rPr>
          <w:rFonts w:hint="eastAsia"/>
          <w:lang w:val="en-GB"/>
        </w:rPr>
        <w:t xml:space="preserve">5.4 </w:t>
      </w:r>
      <w:r>
        <w:rPr>
          <w:rFonts w:hint="eastAsia"/>
        </w:rPr>
        <w:t>过渡季工况</w:t>
      </w:r>
      <w:r>
        <w:tab/>
      </w:r>
      <w:r>
        <w:fldChar w:fldCharType="begin"/>
      </w:r>
      <w:r>
        <w:instrText xml:space="preserve"> PAGEREF _Toc11285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_Toc5876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_Toc5876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_Toc11188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_Toc11188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_Toc19216 </w:instrText>
      </w:r>
      <w:r>
        <w:fldChar w:fldCharType="separate"/>
      </w:r>
      <w:r>
        <w:rPr>
          <w:rFonts w:hint="eastAsia" w:eastAsia="宋体"/>
          <w:szCs w:val="24"/>
          <w:lang w:val="en-GB"/>
        </w:rPr>
        <w:t xml:space="preserve">5.4.3 </w:t>
      </w:r>
      <w:r>
        <w:rPr>
          <w:rFonts w:hint="eastAsia"/>
        </w:rPr>
        <w:t>人行区域旋涡区/无风区达标判定</w:t>
      </w:r>
      <w:r>
        <w:tab/>
      </w:r>
      <w:r>
        <w:fldChar w:fldCharType="begin"/>
      </w:r>
      <w:r>
        <w:instrText xml:space="preserve"> PAGEREF _Toc19216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_Toc31510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_Toc31510 </w:instrText>
      </w:r>
      <w:r>
        <w:fldChar w:fldCharType="separate"/>
      </w:r>
      <w:r>
        <w:t>24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_Toc3049 </w:instrText>
      </w:r>
      <w:r>
        <w:fldChar w:fldCharType="separate"/>
      </w:r>
      <w:r>
        <w:rPr>
          <w:rFonts w:hint="eastAsia"/>
          <w:lang w:val="en-GB"/>
        </w:rPr>
        <w:t xml:space="preserve">5.5 </w:t>
      </w:r>
      <w:r>
        <w:rPr>
          <w:rFonts w:hint="eastAsia"/>
        </w:rPr>
        <w:t>结论</w:t>
      </w:r>
      <w:r>
        <w:tab/>
      </w:r>
      <w:r>
        <w:fldChar w:fldCharType="begin"/>
      </w:r>
      <w:r>
        <w:instrText xml:space="preserve"> PAGEREF _Toc3049 </w:instrText>
      </w:r>
      <w:r>
        <w:fldChar w:fldCharType="separate"/>
      </w:r>
      <w:r>
        <w:t>26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_Toc21808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_Toc21808 </w:instrText>
      </w:r>
      <w:r>
        <w:fldChar w:fldCharType="separate"/>
      </w:r>
      <w:r>
        <w:t>26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_Toc10949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_Toc10949 </w:instrText>
      </w:r>
      <w:r>
        <w:fldChar w:fldCharType="separate"/>
      </w:r>
      <w:r>
        <w:t>26</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122"/>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25178"/>
      <w:bookmarkStart w:id="13" w:name="_Toc452108760"/>
      <w:r>
        <w:rPr>
          <w:rFonts w:hint="eastAsia"/>
        </w:rPr>
        <w:t>总</w:t>
      </w:r>
      <w:r>
        <w:t>平面图</w:t>
      </w:r>
      <w:bookmarkEnd w:id="12"/>
    </w:p>
    <w:p>
      <w:pPr>
        <w:pStyle w:val="3"/>
        <w:ind w:firstLine="0" w:firstLineChars="0"/>
        <w:jc w:val="center"/>
        <w:rPr>
          <w:lang w:val="en-US"/>
        </w:rPr>
      </w:pPr>
      <w:r>
        <w:rPr>
          <w:rFonts w:hint="eastAsia"/>
          <w:lang w:val="en-US"/>
        </w:rPr>
        <w:t xml:space="preserve"> </w:t>
      </w:r>
      <w:bookmarkStart w:id="14"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5" w:name="_Toc16996"/>
      <w:bookmarkStart w:id="16" w:name="_Toc452108761"/>
      <w:r>
        <w:rPr>
          <w:rFonts w:hint="eastAsia"/>
        </w:rPr>
        <w:t>三</w:t>
      </w:r>
      <w:r>
        <w:t>维视图</w:t>
      </w:r>
      <w:bookmarkEnd w:id="15"/>
    </w:p>
    <w:p>
      <w:pPr>
        <w:pStyle w:val="3"/>
        <w:ind w:firstLine="0" w:firstLineChars="0"/>
        <w:jc w:val="center"/>
        <w:rPr>
          <w:lang w:val="en-US"/>
        </w:rPr>
      </w:pPr>
      <w:r>
        <w:rPr>
          <w:rFonts w:hint="eastAsia"/>
          <w:lang w:val="en-US"/>
        </w:rPr>
        <w:t xml:space="preserve"> </w:t>
      </w:r>
      <w:bookmarkStart w:id="17"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8" w:name="_Toc9334"/>
      <w:bookmarkStart w:id="19" w:name="TitleFormat"/>
      <w:bookmarkStart w:id="20" w:name="_Toc452108762"/>
      <w:r>
        <w:rPr>
          <w:rFonts w:hint="eastAsia"/>
        </w:rPr>
        <w:t>计算</w:t>
      </w:r>
      <w:r>
        <w:t>依据</w:t>
      </w:r>
      <w:bookmarkEnd w:id="18"/>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1" w:name="_Toc32291"/>
      <w:bookmarkStart w:id="22" w:name="_Toc452108763"/>
      <w:r>
        <w:rPr>
          <w:rFonts w:hint="eastAsia"/>
        </w:rPr>
        <w:t>参考</w:t>
      </w:r>
      <w:r>
        <w:t>标准</w:t>
      </w:r>
      <w:bookmarkEnd w:id="21"/>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3" w:name="_Toc451698935"/>
      <w:bookmarkStart w:id="24" w:name="_Toc452108764"/>
      <w:bookmarkStart w:id="25"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6" w:name="_Toc7712"/>
      <w:r>
        <w:rPr>
          <w:rFonts w:hint="eastAsia"/>
        </w:rPr>
        <w:t>计算原理</w:t>
      </w:r>
      <w:bookmarkEnd w:id="26"/>
    </w:p>
    <w:p>
      <w:pPr>
        <w:pStyle w:val="4"/>
        <w:numPr>
          <w:ilvl w:val="1"/>
          <w:numId w:val="3"/>
        </w:numPr>
      </w:pPr>
      <w:bookmarkStart w:id="27" w:name="_Toc28937"/>
      <w:bookmarkStart w:id="28" w:name="_Toc509844740"/>
      <w:bookmarkStart w:id="29" w:name="_Toc451698937"/>
      <w:bookmarkStart w:id="30" w:name="_Toc452108765"/>
      <w:r>
        <w:rPr>
          <w:rFonts w:hint="eastAsia"/>
        </w:rPr>
        <w:t>风场计算域</w:t>
      </w:r>
      <w:bookmarkEnd w:id="27"/>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1" w:name="_Toc29154"/>
      <w:r>
        <w:rPr>
          <w:rFonts w:hint="eastAsia"/>
        </w:rPr>
        <w:t>冬季工况风场计算域</w:t>
      </w:r>
      <w:bookmarkEnd w:id="3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130</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2" w:name="_Toc3083"/>
      <w:r>
        <w:rPr>
          <w:rFonts w:hint="eastAsia"/>
        </w:rPr>
        <w:t>夏季工况风场计算域</w:t>
      </w:r>
      <w:bookmarkEnd w:id="3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130</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33" w:name="_Toc2849"/>
      <w:r>
        <w:rPr>
          <w:rFonts w:hint="eastAsia"/>
        </w:rPr>
        <w:t>过渡季工况风场计算域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130</w:t>
            </w:r>
          </w:p>
        </w:tc>
      </w:tr>
    </w:tbl>
    <w:p>
      <w:pPr>
        <w:pStyle w:val="3"/>
        <w:ind w:firstLine="0" w:firstLineChars="0"/>
        <w:jc w:val="center"/>
        <w:rPr>
          <w:lang w:val="en-US"/>
        </w:rPr>
      </w:pPr>
      <w:r>
        <w:drawing>
          <wp:inline distT="0" distB="0" distL="0" distR="0">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1"/>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4"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5" w:name="_Toc31262"/>
      <w:bookmarkStart w:id="36" w:name="_Toc509844741"/>
      <w:r>
        <w:rPr>
          <w:rFonts w:hint="eastAsia"/>
        </w:rPr>
        <w:t>网格划分</w:t>
      </w:r>
      <w:bookmarkEnd w:id="35"/>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7" w:name="OLE_LINK276"/>
      <w:bookmarkStart w:id="38" w:name="OLE_LINK277"/>
      <w:r>
        <w:rPr>
          <w:rFonts w:hint="eastAsia"/>
        </w:rPr>
        <w:t>1）普通网格：指除靠近地面和建筑以外的网格，通常不需要特别加密处理</w:t>
      </w:r>
    </w:p>
    <w:p>
      <w:pPr>
        <w:pStyle w:val="12"/>
        <w:numPr>
          <w:ilvl w:val="0"/>
          <w:numId w:val="4"/>
        </w:numPr>
        <w:spacing w:before="156"/>
      </w:pPr>
      <w:bookmarkStart w:id="39"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422309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0" w:name="冬季建筑附面层数"/>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450866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450866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3"/>
        <w:ind w:firstLine="630" w:firstLineChars="300"/>
        <w:rPr>
          <w:rFonts w:ascii="黑体" w:hAnsi="黑体" w:eastAsia="黑体"/>
          <w:szCs w:val="20"/>
        </w:rPr>
      </w:pPr>
      <w:bookmarkStart w:id="41"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2" w:name="_Toc10652"/>
      <w:bookmarkStart w:id="43" w:name="_Toc509844742"/>
      <w:r>
        <w:rPr>
          <w:rFonts w:hint="eastAsia"/>
        </w:rPr>
        <w:t>边界条件</w:t>
      </w:r>
      <w:bookmarkEnd w:id="42"/>
      <w:bookmarkEnd w:id="43"/>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4" w:name="_Toc8755"/>
      <w:bookmarkStart w:id="45" w:name="_Toc509844743"/>
      <w:r>
        <w:rPr>
          <w:rFonts w:hint="eastAsia"/>
        </w:rPr>
        <w:t>入口与出口边界条件</w:t>
      </w:r>
      <w:bookmarkEnd w:id="44"/>
      <w:bookmarkEnd w:id="45"/>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6" w:name="地面粗糙度指数2"/>
      <w:r>
        <w:rPr>
          <w:rFonts w:hint="eastAsia"/>
          <w:lang w:val="en-US"/>
        </w:rPr>
        <w:t>0.28</w:t>
      </w:r>
      <w:bookmarkEnd w:id="46"/>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7" w:name="_Toc28135"/>
      <w:bookmarkStart w:id="48" w:name="_Toc509844744"/>
      <w:r>
        <w:rPr>
          <w:rFonts w:hint="eastAsia"/>
        </w:rPr>
        <w:t>壁面边界条件</w:t>
      </w:r>
      <w:bookmarkEnd w:id="47"/>
      <w:bookmarkEnd w:id="48"/>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49" w:name="_Toc19027"/>
      <w:r>
        <w:rPr>
          <w:rFonts w:hint="eastAsia"/>
        </w:rPr>
        <w:t>湍流模型</w:t>
      </w:r>
      <w:bookmarkEnd w:id="49"/>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50" w:name="_Toc5793"/>
      <w:bookmarkStart w:id="51" w:name="_Toc451698939"/>
      <w:bookmarkStart w:id="52" w:name="_Toc452108767"/>
      <w:r>
        <w:rPr>
          <w:rFonts w:hint="eastAsia"/>
        </w:rPr>
        <w:t>求解计算</w:t>
      </w:r>
      <w:bookmarkEnd w:id="50"/>
      <w:bookmarkEnd w:id="51"/>
      <w:bookmarkEnd w:id="52"/>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3"/>
      <w:r>
        <w:rPr>
          <w:rFonts w:hint="eastAsia" w:ascii="黑体" w:hAnsi="黑体" w:eastAsia="黑体"/>
          <w:sz w:val="20"/>
          <w:szCs w:val="20"/>
        </w:rPr>
        <w:t xml:space="preserve"> </w:t>
      </w:r>
      <w:bookmarkStart w:id="54" w:name="_Ref225175618"/>
      <w:r>
        <w:rPr>
          <w:rFonts w:hint="eastAsia" w:ascii="黑体" w:hAnsi="黑体" w:eastAsia="黑体"/>
          <w:sz w:val="20"/>
          <w:szCs w:val="20"/>
        </w:rPr>
        <w:t>计算流体力学的控制方程</w:t>
      </w:r>
      <w:bookmarkEnd w:id="5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5" w:name="_Toc509844747"/>
      <w:bookmarkStart w:id="56" w:name="_Toc27763"/>
      <w:r>
        <w:rPr>
          <w:rFonts w:hint="eastAsia"/>
        </w:rPr>
        <w:t>风速放大系数计算</w:t>
      </w:r>
      <w:bookmarkEnd w:id="55"/>
      <w:bookmarkEnd w:id="56"/>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ctrlPr>
                              <w:rPr>
                                <w:rFonts w:ascii="Cambria Math" w:hAnsi="Cambria Math"/>
                                <w:i/>
                                <w:lang w:val="en-US"/>
                              </w:rPr>
                            </m:ctrlPr>
                          </m:e>
                          <m:sup>
                            <m:r>
                              <w:rPr>
                                <w:rFonts w:ascii="Cambria Math" w:hAnsi="Cambria Math"/>
                                <w:lang w:val="en-US"/>
                              </w:rPr>
                              <m:t>'</m:t>
                            </m:r>
                            <m:ctrlPr>
                              <w:rPr>
                                <w:rFonts w:ascii="Cambria Math" w:hAnsi="Cambria Math"/>
                                <w:i/>
                                <w:lang w:val="en-US"/>
                              </w:rPr>
                            </m:ctrlP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ctrlPr>
                                      <w:rPr>
                                        <w:rFonts w:ascii="Cambria Math" w:hAnsi="Cambria Math"/>
                                        <w:i/>
                                        <w:lang w:val="en-US"/>
                                      </w:rPr>
                                    </m:ctrlPr>
                                  </m:num>
                                  <m:den>
                                    <m: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28" r:id="rId59">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29" r:id="rId61">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30" r:id="rId63">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31" r:id="rId65">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7" w:name="地面粗糙度指数"/>
      <w:r>
        <w:rPr>
          <w:rFonts w:hint="eastAsia"/>
          <w:lang w:val="en-US"/>
        </w:rPr>
        <w:t>0.28</w:t>
      </w:r>
      <w:bookmarkEnd w:id="57"/>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8" w:name="_Toc4844"/>
      <w:bookmarkStart w:id="59" w:name="_Toc452108768"/>
      <w:r>
        <w:rPr>
          <w:rFonts w:hint="eastAsia"/>
        </w:rPr>
        <w:t>结果</w:t>
      </w:r>
      <w:r>
        <w:t>分析</w:t>
      </w:r>
      <w:bookmarkEnd w:id="58"/>
      <w:bookmarkEnd w:id="59"/>
    </w:p>
    <w:p>
      <w:pPr>
        <w:pStyle w:val="4"/>
        <w:rPr>
          <w:szCs w:val="21"/>
        </w:rPr>
      </w:pPr>
      <w:bookmarkStart w:id="60" w:name="_Toc2874"/>
      <w:r>
        <w:rPr>
          <w:rFonts w:hint="eastAsia"/>
          <w:szCs w:val="21"/>
        </w:rPr>
        <w:t>工况</w:t>
      </w:r>
      <w:r>
        <w:rPr>
          <w:szCs w:val="21"/>
        </w:rPr>
        <w:t>表</w:t>
      </w:r>
      <w:bookmarkEnd w:id="60"/>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5.90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90.0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225.0</w:t>
            </w:r>
          </w:p>
        </w:tc>
      </w:tr>
      <w:bookmarkEnd w:id="61"/>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2" w:name="_Toc449"/>
      <w:r>
        <w:rPr>
          <w:rFonts w:hint="eastAsia"/>
        </w:rPr>
        <w:t>冬季工况</w:t>
      </w:r>
      <w:bookmarkEnd w:id="62"/>
    </w:p>
    <w:p>
      <w:pPr>
        <w:ind w:firstLine="420" w:firstLineChars="200"/>
        <w:jc w:val="both"/>
      </w:pPr>
      <w:r>
        <w:rPr>
          <w:rFonts w:hint="eastAsia"/>
          <w:lang w:val="en-US"/>
        </w:rPr>
        <w:t>本项目冬季工况的入口边界风速为</w:t>
      </w:r>
      <w:r>
        <w:rPr>
          <w:rFonts w:hint="eastAsia" w:ascii="Calibri" w:hAnsi="Calibri"/>
          <w:szCs w:val="21"/>
        </w:rPr>
        <w:t>5.90</w:t>
      </w:r>
      <w:r>
        <w:rPr>
          <w:rFonts w:ascii="Calibri" w:hAnsi="Calibri"/>
          <w:szCs w:val="21"/>
        </w:rPr>
        <w:t>m/s</w:t>
      </w:r>
      <w:r>
        <w:rPr>
          <w:rFonts w:hint="eastAsia" w:ascii="Calibri" w:hAnsi="Calibri"/>
          <w:szCs w:val="21"/>
        </w:rPr>
        <w:t>，风向为</w:t>
      </w:r>
      <w:r>
        <w:rPr>
          <w:szCs w:val="21"/>
        </w:rPr>
        <w:t>N</w:t>
      </w:r>
      <w:r>
        <w:rPr>
          <w:rFonts w:hint="eastAsia"/>
          <w:szCs w:val="21"/>
        </w:rPr>
        <w:t>。</w:t>
      </w:r>
    </w:p>
    <w:p>
      <w:pPr>
        <w:pStyle w:val="5"/>
      </w:pPr>
      <w:bookmarkStart w:id="63" w:name="_Toc10373"/>
      <w:r>
        <w:rPr>
          <w:rFonts w:hint="eastAsia"/>
        </w:rPr>
        <w:t>风速达标分析</w:t>
      </w:r>
      <w:bookmarkEnd w:id="63"/>
      <w:r>
        <w:rPr>
          <w:rFonts w:hint="eastAsia"/>
        </w:rPr>
        <w:t xml:space="preserve"> </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rPr>
          <w:lang w:val="en-US"/>
        </w:rPr>
        <w:t>建筑周围</w:t>
      </w:r>
      <w:r>
        <w:rPr>
          <w:color w:val="FF0000"/>
          <w:lang w:val="en-US"/>
        </w:rPr>
        <w:t>出现</w:t>
      </w:r>
      <w:r>
        <w:rPr>
          <w:lang w:val="en-US"/>
        </w:rPr>
        <w:t>风速超限区域，</w:t>
      </w:r>
      <w:r>
        <w:rPr>
          <w:color w:val="FF0000"/>
          <w:lang w:val="en-US"/>
        </w:rPr>
        <w:t>需</w:t>
      </w:r>
      <w:r>
        <w:rPr>
          <w:lang w:val="en-US"/>
        </w:rPr>
        <w:t>酌情调整建筑布局。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8"/>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4" w:name="_Toc23327"/>
      <w:r>
        <w:rPr>
          <w:rFonts w:hint="eastAsia"/>
        </w:rPr>
        <w:t>风速放大系数达标分析</w:t>
      </w:r>
      <w:bookmarkEnd w:id="64"/>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rPr>
          <w:lang w:val="en-US"/>
        </w:rPr>
        <w:t>建筑周围</w:t>
      </w:r>
      <w:r>
        <w:rPr>
          <w:color w:val="FF0000"/>
          <w:lang w:val="en-US"/>
        </w:rPr>
        <w:t>出现</w:t>
      </w:r>
      <w:r>
        <w:rPr>
          <w:lang w:val="en-US"/>
        </w:rPr>
        <w:t>风速放大系数超限区域，</w:t>
      </w:r>
      <w:r>
        <w:rPr>
          <w:color w:val="FF0000"/>
          <w:lang w:val="en-US"/>
        </w:rPr>
        <w:t>需</w:t>
      </w:r>
      <w:r>
        <w:rPr>
          <w:lang w:val="en-US"/>
        </w:rPr>
        <w:t>酌情调整建筑布局。</w:t>
      </w:r>
    </w:p>
    <w:p>
      <w:pPr>
        <w:pStyle w:val="13"/>
        <w:jc w:val="center"/>
        <w:rPr>
          <w:lang w:val="en-US"/>
        </w:rPr>
      </w:pPr>
      <w:r>
        <w:drawing>
          <wp:inline distT="0" distB="0" distL="0" distR="0">
            <wp:extent cx="5667375" cy="34766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9"/>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5" w:name="_Toc15568"/>
      <w:r>
        <w:rPr>
          <w:rFonts w:hint="eastAsia" w:cs="宋体"/>
          <w:lang w:val="en-GB"/>
        </w:rPr>
        <w:t>人行区域</w:t>
      </w:r>
      <w:r>
        <w:rPr>
          <w:rFonts w:hint="eastAsia"/>
        </w:rPr>
        <w:t>冬季工况风速/风速放大系数达标判定</w:t>
      </w:r>
      <w:bookmarkEnd w:id="65"/>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66" w:name="冬季工况风速是否有超限区域"/>
            <w:r>
              <w:rPr>
                <w:rFonts w:hint="eastAsia" w:ascii="宋体" w:hAnsi="宋体" w:cs="宋体"/>
                <w:color w:val="FF0000"/>
                <w:sz w:val="22"/>
                <w:szCs w:val="22"/>
                <w:lang w:val="en-US"/>
              </w:rPr>
              <w:t>是</w:t>
            </w:r>
            <w:bookmarkEnd w:id="66"/>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FF0000"/>
                <w:sz w:val="22"/>
                <w:szCs w:val="22"/>
                <w:lang w:val="en-US"/>
              </w:rPr>
              <w:t>否</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FF0000"/>
                <w:sz w:val="22"/>
                <w:szCs w:val="22"/>
                <w:lang w:val="en-US"/>
              </w:rPr>
              <w:t>是</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FF0000"/>
                <w:sz w:val="22"/>
                <w:szCs w:val="22"/>
                <w:lang w:val="en-US"/>
              </w:rPr>
              <w:t>否</w:t>
            </w:r>
          </w:p>
        </w:tc>
      </w:tr>
    </w:tbl>
    <w:p>
      <w:pPr>
        <w:pStyle w:val="5"/>
      </w:pPr>
      <w:bookmarkStart w:id="67" w:name="_Toc8368"/>
      <w:r>
        <w:rPr>
          <w:rFonts w:hint="eastAsia"/>
        </w:rPr>
        <w:t>建筑迎风面和背风面风压分析</w:t>
      </w:r>
      <w:bookmarkEnd w:id="67"/>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noChangeArrowheads="1"/>
                    </pic:cNvPicPr>
                  </pic:nvPicPr>
                  <pic:blipFill>
                    <a:blip r:embed="rId70">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1"/>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68" w:name="冬季工况建筑背风面风压云图"/>
      <w:r>
        <w:drawing>
          <wp:inline distT="0" distB="0" distL="0" distR="0">
            <wp:extent cx="5667375" cy="3638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2"/>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-DT单体(总平通风3)</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-7.79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-8.26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-8.61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-7.85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-0.76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-8.69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-8.22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-8.94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-9.34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-9.56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-9.90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-8.65</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-8.72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0.07</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456</w:t>
            </w:r>
          </w:p>
        </w:tc>
        <w:tc>
          <w:tcPr>
            <w:tcW w:w="1276" w:type="dxa"/>
            <w:shd w:val="clear" w:color="auto" w:fill="auto"/>
            <w:vAlign w:val="center"/>
          </w:tcPr>
          <w:p>
            <w:pPr>
              <w:jc w:val="center"/>
              <w:rPr>
                <w:lang w:val="en-US"/>
              </w:rPr>
            </w:pPr>
            <w:r>
              <w:rPr>
                <w:lang w:val="en-US"/>
              </w:rPr>
              <w:t>-1.90</w:t>
            </w:r>
          </w:p>
        </w:tc>
        <w:tc>
          <w:tcPr>
            <w:tcW w:w="1276" w:type="dxa"/>
            <w:shd w:val="clear" w:color="auto" w:fill="auto"/>
            <w:vAlign w:val="center"/>
          </w:tcPr>
          <w:p>
            <w:pPr>
              <w:jc w:val="center"/>
              <w:rPr>
                <w:lang w:val="en-US"/>
              </w:rPr>
            </w:pPr>
            <w:r>
              <w:rPr>
                <w:lang w:val="en-US"/>
              </w:rPr>
              <w:t>-12.28</w:t>
            </w:r>
          </w:p>
        </w:tc>
        <w:tc>
          <w:tcPr>
            <w:tcW w:w="1701" w:type="dxa"/>
            <w:shd w:val="clear" w:color="auto" w:fill="auto"/>
            <w:vAlign w:val="center"/>
          </w:tcPr>
          <w:p>
            <w:pPr>
              <w:jc w:val="center"/>
              <w:rPr>
                <w:lang w:val="en-US"/>
              </w:rPr>
            </w:pPr>
            <w:r>
              <w:rPr>
                <w:lang w:val="en-US"/>
              </w:rPr>
              <w:t>10.38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w:t>
            </w:r>
          </w:p>
        </w:tc>
        <w:tc>
          <w:tcPr>
            <w:tcW w:w="1276" w:type="dxa"/>
            <w:shd w:val="clear" w:color="auto" w:fill="auto"/>
            <w:vAlign w:val="center"/>
          </w:tcPr>
          <w:p>
            <w:pPr>
              <w:jc w:val="center"/>
              <w:rPr>
                <w:lang w:val="en-US"/>
              </w:rPr>
            </w:pPr>
            <w:r>
              <w:rPr>
                <w:lang w:val="en-US"/>
              </w:rPr>
              <w:t>-0.96</w:t>
            </w:r>
          </w:p>
        </w:tc>
        <w:tc>
          <w:tcPr>
            <w:tcW w:w="1276" w:type="dxa"/>
            <w:shd w:val="clear" w:color="auto" w:fill="auto"/>
            <w:vAlign w:val="center"/>
          </w:tcPr>
          <w:p>
            <w:pPr>
              <w:jc w:val="center"/>
              <w:rPr>
                <w:lang w:val="en-US"/>
              </w:rPr>
            </w:pPr>
            <w:r>
              <w:rPr>
                <w:lang w:val="en-US"/>
              </w:rPr>
              <w:t>-15.55</w:t>
            </w:r>
          </w:p>
        </w:tc>
        <w:tc>
          <w:tcPr>
            <w:tcW w:w="1701" w:type="dxa"/>
            <w:shd w:val="clear" w:color="auto" w:fill="auto"/>
            <w:vAlign w:val="center"/>
          </w:tcPr>
          <w:p>
            <w:pPr>
              <w:jc w:val="center"/>
              <w:rPr>
                <w:lang w:val="en-US"/>
              </w:rPr>
            </w:pPr>
            <w:r>
              <w:rPr>
                <w:lang w:val="en-US"/>
              </w:rPr>
              <w:t>14.59</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w:t>
            </w:r>
          </w:p>
        </w:tc>
        <w:tc>
          <w:tcPr>
            <w:tcW w:w="1276" w:type="dxa"/>
            <w:shd w:val="clear" w:color="auto" w:fill="auto"/>
            <w:vAlign w:val="center"/>
          </w:tcPr>
          <w:p>
            <w:pPr>
              <w:jc w:val="center"/>
              <w:rPr>
                <w:lang w:val="en-US"/>
              </w:rPr>
            </w:pPr>
            <w:r>
              <w:rPr>
                <w:lang w:val="en-US"/>
              </w:rPr>
              <w:t>1.72</w:t>
            </w:r>
          </w:p>
        </w:tc>
        <w:tc>
          <w:tcPr>
            <w:tcW w:w="1276" w:type="dxa"/>
            <w:shd w:val="clear" w:color="auto" w:fill="auto"/>
            <w:vAlign w:val="center"/>
          </w:tcPr>
          <w:p>
            <w:pPr>
              <w:jc w:val="center"/>
              <w:rPr>
                <w:lang w:val="en-US"/>
              </w:rPr>
            </w:pPr>
            <w:r>
              <w:rPr>
                <w:lang w:val="en-US"/>
              </w:rPr>
              <w:t>-15.27</w:t>
            </w:r>
          </w:p>
        </w:tc>
        <w:tc>
          <w:tcPr>
            <w:tcW w:w="1701" w:type="dxa"/>
            <w:shd w:val="clear" w:color="auto" w:fill="auto"/>
            <w:vAlign w:val="center"/>
          </w:tcPr>
          <w:p>
            <w:pPr>
              <w:jc w:val="center"/>
              <w:rPr>
                <w:lang w:val="en-US"/>
              </w:rPr>
            </w:pPr>
            <w:r>
              <w:rPr>
                <w:lang w:val="en-US"/>
              </w:rPr>
              <w:t>16.99</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w:t>
            </w:r>
          </w:p>
        </w:tc>
        <w:tc>
          <w:tcPr>
            <w:tcW w:w="1276" w:type="dxa"/>
            <w:shd w:val="clear" w:color="auto" w:fill="auto"/>
            <w:vAlign w:val="center"/>
          </w:tcPr>
          <w:p>
            <w:pPr>
              <w:jc w:val="center"/>
              <w:rPr>
                <w:lang w:val="en-US"/>
              </w:rPr>
            </w:pPr>
            <w:r>
              <w:rPr>
                <w:lang w:val="en-US"/>
              </w:rPr>
              <w:t>-12.52</w:t>
            </w:r>
          </w:p>
        </w:tc>
        <w:tc>
          <w:tcPr>
            <w:tcW w:w="1276" w:type="dxa"/>
            <w:shd w:val="clear" w:color="auto" w:fill="auto"/>
            <w:vAlign w:val="center"/>
          </w:tcPr>
          <w:p>
            <w:pPr>
              <w:jc w:val="center"/>
              <w:rPr>
                <w:lang w:val="en-US"/>
              </w:rPr>
            </w:pPr>
            <w:r>
              <w:rPr>
                <w:lang w:val="en-US"/>
              </w:rPr>
              <w:t>-10.21</w:t>
            </w:r>
          </w:p>
        </w:tc>
        <w:tc>
          <w:tcPr>
            <w:tcW w:w="1701" w:type="dxa"/>
            <w:shd w:val="clear" w:color="auto" w:fill="auto"/>
            <w:vAlign w:val="center"/>
          </w:tcPr>
          <w:p>
            <w:pPr>
              <w:jc w:val="center"/>
              <w:rPr>
                <w:lang w:val="en-US"/>
              </w:rPr>
            </w:pPr>
            <w:r>
              <w:rPr>
                <w:lang w:val="en-US"/>
              </w:rPr>
              <w:t>-2.31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DT单体(总平通风3)</w:t>
            </w:r>
          </w:p>
        </w:tc>
        <w:tc>
          <w:tcPr>
            <w:tcW w:w="1276" w:type="dxa"/>
            <w:shd w:val="clear" w:color="auto" w:fill="auto"/>
            <w:vAlign w:val="center"/>
          </w:tcPr>
          <w:p>
            <w:pPr>
              <w:jc w:val="center"/>
              <w:rPr>
                <w:lang w:val="en-US"/>
              </w:rPr>
            </w:pPr>
            <w:r>
              <w:rPr>
                <w:lang w:val="en-US"/>
              </w:rPr>
              <w:t>-8.65</w:t>
            </w:r>
          </w:p>
        </w:tc>
        <w:tc>
          <w:tcPr>
            <w:tcW w:w="1276" w:type="dxa"/>
            <w:shd w:val="clear" w:color="auto" w:fill="auto"/>
            <w:vAlign w:val="center"/>
          </w:tcPr>
          <w:p>
            <w:pPr>
              <w:jc w:val="center"/>
              <w:rPr>
                <w:lang w:val="en-US"/>
              </w:rPr>
            </w:pPr>
            <w:r>
              <w:rPr>
                <w:lang w:val="en-US"/>
              </w:rPr>
              <w:t>-8.72</w:t>
            </w:r>
          </w:p>
        </w:tc>
        <w:tc>
          <w:tcPr>
            <w:tcW w:w="1701" w:type="dxa"/>
            <w:shd w:val="clear" w:color="auto" w:fill="auto"/>
            <w:vAlign w:val="center"/>
          </w:tcPr>
          <w:p>
            <w:pPr>
              <w:jc w:val="center"/>
              <w:rPr>
                <w:lang w:val="en-US"/>
              </w:rPr>
            </w:pPr>
            <w:r>
              <w:rPr>
                <w:lang w:val="en-US"/>
              </w:rPr>
              <w:t>0.07</w:t>
            </w:r>
          </w:p>
        </w:tc>
        <w:tc>
          <w:tcPr>
            <w:tcW w:w="973" w:type="dxa"/>
            <w:shd w:val="clear" w:color="auto" w:fill="auto"/>
            <w:vAlign w:val="center"/>
          </w:tcPr>
          <w:p>
            <w:pPr>
              <w:jc w:val="center"/>
              <w:rPr>
                <w:lang w:val="en-US"/>
              </w:rPr>
            </w:pPr>
            <w:r>
              <w:rPr>
                <w:lang w:val="en-US"/>
              </w:rPr>
              <w:t>是</w:t>
            </w:r>
          </w:p>
        </w:tc>
      </w:tr>
    </w:tbl>
    <w:p>
      <w:pPr>
        <w:rPr>
          <w:lang w:val="en-US"/>
        </w:rPr>
      </w:pPr>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69" w:name="冬季工况"/>
      <w:bookmarkEnd w:id="69"/>
      <w:r>
        <w:rPr>
          <w:rFonts w:hint="eastAsia"/>
          <w:lang w:val="en-US"/>
        </w:rPr>
        <w:t xml:space="preserve"> </w:t>
      </w:r>
    </w:p>
    <w:p>
      <w:pPr>
        <w:pStyle w:val="4"/>
      </w:pPr>
      <w:bookmarkStart w:id="70" w:name="_Toc14820"/>
      <w:r>
        <w:rPr>
          <w:rFonts w:hint="eastAsia"/>
        </w:rPr>
        <w:t>夏季工况</w:t>
      </w:r>
      <w:bookmarkEnd w:id="70"/>
    </w:p>
    <w:p>
      <w:pPr>
        <w:pStyle w:val="3"/>
        <w:ind w:firstLine="420"/>
      </w:pPr>
      <w:r>
        <w:rPr>
          <w:rFonts w:hint="eastAsia"/>
          <w:lang w:val="en-US"/>
        </w:rPr>
        <w:t>本项目夏季工况的入口边界风速为3.50m/s，风向为</w:t>
      </w:r>
      <w:r>
        <w:t>SW</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1" w:name="_Toc16573"/>
      <w:r>
        <w:rPr>
          <w:rFonts w:hint="eastAsia"/>
        </w:rPr>
        <w:t>无风区计算分析</w:t>
      </w:r>
      <w:bookmarkEnd w:id="71"/>
    </w:p>
    <w:p>
      <w:pPr>
        <w:pStyle w:val="3"/>
        <w:tabs>
          <w:tab w:val="left" w:pos="426"/>
        </w:tabs>
        <w:ind w:firstLine="420"/>
      </w:pPr>
      <w:r>
        <w:rPr>
          <w:rFonts w:hint="eastAsia"/>
        </w:rPr>
        <w:t>下图为整个计算域内风速分布云图，参考图中速度分布可以对项目中建筑布局进行优化。分析下图，</w:t>
      </w:r>
      <w:r>
        <w:t>黑色等值线</w:t>
      </w:r>
      <w:r>
        <w:rPr>
          <w:color w:val="FF0000"/>
        </w:rPr>
        <w:t>标示出了</w:t>
      </w:r>
      <w:r>
        <w:t>人行区内风速小于0.2m/s的超限区域，因此</w:t>
      </w:r>
      <w:r>
        <w:rPr>
          <w:color w:val="FF0000"/>
        </w:rPr>
        <w:t>未满足</w:t>
      </w:r>
      <w:r>
        <w:t>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3"/>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p>
    <w:p>
      <w:pPr>
        <w:pStyle w:val="5"/>
      </w:pPr>
      <w:bookmarkStart w:id="72" w:name="_Toc4609"/>
      <w:r>
        <w:rPr>
          <w:rFonts w:hint="eastAsia"/>
        </w:rPr>
        <w:t>旋涡区分析</w:t>
      </w:r>
      <w:bookmarkEnd w:id="72"/>
    </w:p>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r>
        <w:drawing>
          <wp:inline distT="0" distB="0" distL="0" distR="0">
            <wp:extent cx="5667375" cy="3667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4"/>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3" w:name="_Toc5431"/>
      <w:r>
        <w:rPr>
          <w:rFonts w:hint="eastAsia"/>
        </w:rPr>
        <w:t>人行区域旋涡区/无风区达标判定</w:t>
      </w:r>
      <w:bookmarkEnd w:id="7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4" w:name="_Toc27969"/>
      <w:r>
        <w:rPr>
          <w:rFonts w:hint="eastAsia"/>
        </w:rPr>
        <w:t>外窗内外表面风压差达标分析</w:t>
      </w:r>
      <w:bookmarkEnd w:id="74"/>
    </w:p>
    <w:p>
      <w:pPr>
        <w:pStyle w:val="3"/>
        <w:ind w:firstLine="420"/>
      </w:pPr>
      <w:r>
        <w:rPr>
          <w:rFonts w:hint="eastAsia"/>
          <w:lang w:val="en-US"/>
        </w:rPr>
        <w:t>分析《绿色建筑评价标准》，夏季为充分利用自然通风获得良好的室内风环境，要求50%以上可开启外窗室内外表面的风压差大于0.5Pa。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r>
        <w:drawing>
          <wp:inline distT="0" distB="0" distL="0" distR="0">
            <wp:extent cx="5667375" cy="3619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p>
    <w:p>
      <w:pPr>
        <w:pStyle w:val="13"/>
        <w:jc w:val="center"/>
      </w:pPr>
      <w:r>
        <w:drawing>
          <wp:inline distT="0" distB="0" distL="0" distR="0">
            <wp:extent cx="5667375" cy="36385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6"/>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DT单体(总平通风3)</w:t>
            </w:r>
          </w:p>
        </w:tc>
        <w:tc>
          <w:tcPr>
            <w:tcW w:w="1134" w:type="dxa"/>
            <w:shd w:val="clear" w:color="auto" w:fill="auto"/>
            <w:vAlign w:val="center"/>
          </w:tcPr>
          <w:p>
            <w:pPr>
              <w:jc w:val="center"/>
              <w:rPr>
                <w:lang w:val="en-US"/>
              </w:rPr>
            </w:pPr>
            <w:r>
              <w:rPr>
                <w:lang w:val="en-US"/>
              </w:rPr>
              <w:t>727</w:t>
            </w:r>
          </w:p>
        </w:tc>
        <w:tc>
          <w:tcPr>
            <w:tcW w:w="1984" w:type="dxa"/>
            <w:shd w:val="clear" w:color="auto" w:fill="auto"/>
            <w:vAlign w:val="center"/>
          </w:tcPr>
          <w:p>
            <w:pPr>
              <w:jc w:val="center"/>
              <w:rPr>
                <w:lang w:val="en-US"/>
              </w:rPr>
            </w:pPr>
            <w:r>
              <w:rPr>
                <w:lang w:val="en-US"/>
              </w:rPr>
              <w:t>590</w:t>
            </w:r>
          </w:p>
        </w:tc>
        <w:tc>
          <w:tcPr>
            <w:tcW w:w="1116" w:type="dxa"/>
            <w:shd w:val="clear" w:color="auto" w:fill="auto"/>
            <w:vAlign w:val="center"/>
          </w:tcPr>
          <w:p>
            <w:pPr>
              <w:jc w:val="center"/>
              <w:rPr>
                <w:lang w:val="en-US"/>
              </w:rPr>
            </w:pPr>
            <w:r>
              <w:rPr>
                <w:lang w:val="en-US"/>
              </w:rPr>
              <w:t>81.16</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456</w:t>
            </w:r>
          </w:p>
        </w:tc>
        <w:tc>
          <w:tcPr>
            <w:tcW w:w="1417" w:type="dxa"/>
            <w:vAlign w:val="center"/>
          </w:tcPr>
          <w:p>
            <w:pPr>
              <w:spacing w:line="360" w:lineRule="exact"/>
              <w:jc w:val="center"/>
              <w:rPr>
                <w:lang w:val="en-US"/>
              </w:rPr>
            </w:pPr>
            <w:r>
              <w:rPr>
                <w:lang w:val="en-US"/>
              </w:rPr>
              <w:t>10195.80</w:t>
            </w:r>
          </w:p>
        </w:tc>
        <w:tc>
          <w:tcPr>
            <w:tcW w:w="2552" w:type="dxa"/>
            <w:vAlign w:val="center"/>
          </w:tcPr>
          <w:p>
            <w:pPr>
              <w:spacing w:line="360" w:lineRule="exact"/>
              <w:jc w:val="center"/>
              <w:rPr>
                <w:lang w:val="en-US"/>
              </w:rPr>
            </w:pPr>
            <w:r>
              <w:rPr>
                <w:lang w:val="en-US"/>
              </w:rPr>
              <w:t>10001.30</w:t>
            </w:r>
          </w:p>
        </w:tc>
        <w:tc>
          <w:tcPr>
            <w:tcW w:w="1134" w:type="dxa"/>
            <w:vAlign w:val="center"/>
          </w:tcPr>
          <w:p>
            <w:pPr>
              <w:spacing w:line="360" w:lineRule="exact"/>
              <w:jc w:val="center"/>
              <w:rPr>
                <w:lang w:val="en-US"/>
              </w:rPr>
            </w:pPr>
            <w:r>
              <w:rPr>
                <w:lang w:val="en-US"/>
              </w:rPr>
              <w:t>98.09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w:t>
            </w:r>
          </w:p>
        </w:tc>
        <w:tc>
          <w:tcPr>
            <w:tcW w:w="1417" w:type="dxa"/>
            <w:vAlign w:val="center"/>
          </w:tcPr>
          <w:p>
            <w:pPr>
              <w:spacing w:line="360" w:lineRule="exact"/>
              <w:jc w:val="center"/>
              <w:rPr>
                <w:lang w:val="en-US"/>
              </w:rPr>
            </w:pPr>
            <w:r>
              <w:rPr>
                <w:lang w:val="en-US"/>
              </w:rPr>
              <w:t>6727.35</w:t>
            </w:r>
          </w:p>
        </w:tc>
        <w:tc>
          <w:tcPr>
            <w:tcW w:w="2552" w:type="dxa"/>
            <w:vAlign w:val="center"/>
          </w:tcPr>
          <w:p>
            <w:pPr>
              <w:spacing w:line="360" w:lineRule="exact"/>
              <w:jc w:val="center"/>
              <w:rPr>
                <w:lang w:val="en-US"/>
              </w:rPr>
            </w:pPr>
            <w:r>
              <w:rPr>
                <w:lang w:val="en-US"/>
              </w:rPr>
              <w:t>6512.11</w:t>
            </w:r>
          </w:p>
        </w:tc>
        <w:tc>
          <w:tcPr>
            <w:tcW w:w="1134" w:type="dxa"/>
            <w:vAlign w:val="center"/>
          </w:tcPr>
          <w:p>
            <w:pPr>
              <w:spacing w:line="360" w:lineRule="exact"/>
              <w:jc w:val="center"/>
              <w:rPr>
                <w:lang w:val="en-US"/>
              </w:rPr>
            </w:pPr>
            <w:r>
              <w:rPr>
                <w:lang w:val="en-US"/>
              </w:rPr>
              <w:t>96.80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w:t>
            </w:r>
          </w:p>
        </w:tc>
        <w:tc>
          <w:tcPr>
            <w:tcW w:w="1417" w:type="dxa"/>
            <w:vAlign w:val="center"/>
          </w:tcPr>
          <w:p>
            <w:pPr>
              <w:spacing w:line="360" w:lineRule="exact"/>
              <w:jc w:val="center"/>
              <w:rPr>
                <w:lang w:val="en-US"/>
              </w:rPr>
            </w:pPr>
            <w:r>
              <w:rPr>
                <w:lang w:val="en-US"/>
              </w:rPr>
              <w:t>5146.76</w:t>
            </w:r>
          </w:p>
        </w:tc>
        <w:tc>
          <w:tcPr>
            <w:tcW w:w="2552" w:type="dxa"/>
            <w:vAlign w:val="center"/>
          </w:tcPr>
          <w:p>
            <w:pPr>
              <w:spacing w:line="360" w:lineRule="exact"/>
              <w:jc w:val="center"/>
              <w:rPr>
                <w:lang w:val="en-US"/>
              </w:rPr>
            </w:pPr>
            <w:r>
              <w:rPr>
                <w:lang w:val="en-US"/>
              </w:rPr>
              <w:t>4913.08</w:t>
            </w:r>
          </w:p>
        </w:tc>
        <w:tc>
          <w:tcPr>
            <w:tcW w:w="1134" w:type="dxa"/>
            <w:vAlign w:val="center"/>
          </w:tcPr>
          <w:p>
            <w:pPr>
              <w:spacing w:line="360" w:lineRule="exact"/>
              <w:jc w:val="center"/>
              <w:rPr>
                <w:lang w:val="en-US"/>
              </w:rPr>
            </w:pPr>
            <w:r>
              <w:rPr>
                <w:lang w:val="en-US"/>
              </w:rPr>
              <w:t>95.46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w:t>
            </w:r>
          </w:p>
        </w:tc>
        <w:tc>
          <w:tcPr>
            <w:tcW w:w="1417" w:type="dxa"/>
            <w:vAlign w:val="center"/>
          </w:tcPr>
          <w:p>
            <w:pPr>
              <w:spacing w:line="360" w:lineRule="exact"/>
              <w:jc w:val="center"/>
              <w:rPr>
                <w:lang w:val="en-US"/>
              </w:rPr>
            </w:pPr>
            <w:r>
              <w:rPr>
                <w:lang w:val="en-US"/>
              </w:rPr>
              <w:t>5542.69</w:t>
            </w:r>
          </w:p>
        </w:tc>
        <w:tc>
          <w:tcPr>
            <w:tcW w:w="2552" w:type="dxa"/>
            <w:vAlign w:val="center"/>
          </w:tcPr>
          <w:p>
            <w:pPr>
              <w:spacing w:line="360" w:lineRule="exact"/>
              <w:jc w:val="center"/>
              <w:rPr>
                <w:lang w:val="en-US"/>
              </w:rPr>
            </w:pPr>
            <w:r>
              <w:rPr>
                <w:lang w:val="en-US"/>
              </w:rPr>
              <w:t>5274.09</w:t>
            </w:r>
          </w:p>
        </w:tc>
        <w:tc>
          <w:tcPr>
            <w:tcW w:w="1134" w:type="dxa"/>
            <w:vAlign w:val="center"/>
          </w:tcPr>
          <w:p>
            <w:pPr>
              <w:spacing w:line="360" w:lineRule="exact"/>
              <w:jc w:val="center"/>
              <w:rPr>
                <w:lang w:val="en-US"/>
              </w:rPr>
            </w:pPr>
            <w:r>
              <w:rPr>
                <w:lang w:val="en-US"/>
              </w:rPr>
              <w:t>95.15</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p>
    <w:p>
      <w:pPr>
        <w:rPr>
          <w:lang w:val="en-US"/>
        </w:rPr>
      </w:pPr>
      <w:r>
        <w:rPr>
          <w:rFonts w:hint="eastAsia"/>
          <w:lang w:val="en-US"/>
        </w:rPr>
        <w:t xml:space="preserve">结论：本项目中所有建筑均满足“50%以上可开启外窗室内外表面的风压差大于0.5Pa”的要求。 </w:t>
      </w:r>
    </w:p>
    <w:p>
      <w:pPr>
        <w:pStyle w:val="4"/>
      </w:pPr>
      <w:bookmarkStart w:id="75" w:name="_Toc11285"/>
      <w:r>
        <w:rPr>
          <w:rFonts w:hint="eastAsia"/>
        </w:rPr>
        <w:t>过渡季工况</w:t>
      </w:r>
      <w:bookmarkEnd w:id="75"/>
    </w:p>
    <w:p>
      <w:pPr>
        <w:pStyle w:val="3"/>
        <w:ind w:firstLine="420"/>
      </w:pPr>
      <w:r>
        <w:rPr>
          <w:rFonts w:hint="eastAsia"/>
          <w:lang w:val="en-US"/>
        </w:rPr>
        <w:t>本项目过渡季工况的入口边界风速为3.50m/s，风向为</w:t>
      </w:r>
      <w:r>
        <w:t>SW</w:t>
      </w:r>
      <w:r>
        <w:rPr>
          <w:rFonts w:hint="eastAsia"/>
          <w:lang w:val="en-US"/>
        </w:rPr>
        <w:t>。</w:t>
      </w:r>
    </w:p>
    <w:p>
      <w:pPr>
        <w:pStyle w:val="3"/>
        <w:ind w:firstLine="420"/>
      </w:pPr>
      <w:r>
        <w:rPr>
          <w:rFonts w:hint="eastAsia"/>
          <w:lang w:val="en-US"/>
        </w:rPr>
        <w:t>根据前述《绿色建筑评价标准》 对于夏季工况的要求，过渡季典型风速和风向条件下，场地内人活动区不出现涡旋或无风区。通过该项标准指导设计确保合理的建筑布局，在过渡季形成有效的巷道风，优化街区自然通风环境，避免过渡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6" w:name="_Toc5876"/>
      <w:r>
        <w:rPr>
          <w:rFonts w:hint="eastAsia"/>
        </w:rPr>
        <w:t>无风区计算分析</w:t>
      </w:r>
      <w:bookmarkEnd w:id="76"/>
    </w:p>
    <w:p>
      <w:pPr>
        <w:pStyle w:val="3"/>
        <w:tabs>
          <w:tab w:val="left" w:pos="426"/>
        </w:tabs>
        <w:ind w:firstLine="420"/>
      </w:pPr>
      <w:r>
        <w:rPr>
          <w:rFonts w:hint="eastAsia"/>
        </w:rPr>
        <w:t>下图为整个计算域内风速分布云图，参考图中速度分布可以对项目中建筑布局进行优化。分析下图，</w:t>
      </w:r>
      <w:r>
        <w:t>黑色等值线</w:t>
      </w:r>
      <w:r>
        <w:rPr>
          <w:color w:val="FF0000"/>
        </w:rPr>
        <w:t>标示出了</w:t>
      </w:r>
      <w:r>
        <w:t>人行区内风速小于0.2m/s的超限区域，因此</w:t>
      </w:r>
      <w:r>
        <w:rPr>
          <w:color w:val="FF0000"/>
        </w:rPr>
        <w:t>未满足</w:t>
      </w:r>
      <w:r>
        <w:t>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3"/>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计算域内-1.5米高度水平面风速云图-过渡季</w:t>
      </w:r>
      <w:bookmarkEnd w:id="14"/>
    </w:p>
    <w:p>
      <w:pPr>
        <w:pStyle w:val="5"/>
      </w:pPr>
      <w:bookmarkStart w:id="77" w:name="_Toc11188"/>
      <w:r>
        <w:rPr>
          <w:rFonts w:hint="eastAsia"/>
        </w:rPr>
        <w:t>旋涡区分析</w:t>
      </w:r>
      <w:bookmarkEnd w:id="16"/>
      <w:bookmarkEnd w:id="77"/>
    </w:p>
    <w:bookmarkEnd w:id="17"/>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4"/>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8" w:name="_Toc19216"/>
      <w:r>
        <w:rPr>
          <w:rFonts w:hint="eastAsia"/>
        </w:rPr>
        <w:t>人行区域旋涡区/无风区达标判定</w:t>
      </w:r>
      <w:bookmarkEnd w:id="20"/>
      <w:bookmarkEnd w:id="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2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23"/>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24"/>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9" w:name="_Toc31510"/>
      <w:r>
        <w:rPr>
          <w:rFonts w:hint="eastAsia"/>
        </w:rPr>
        <w:t>外窗内外表面风压</w:t>
      </w:r>
      <w:bookmarkEnd w:id="25"/>
      <w:r>
        <w:rPr>
          <w:rFonts w:hint="eastAsia"/>
        </w:rPr>
        <w:t>差达标分析</w:t>
      </w:r>
      <w:bookmarkEnd w:id="28"/>
      <w:bookmarkEnd w:id="79"/>
    </w:p>
    <w:p>
      <w:pPr>
        <w:pStyle w:val="3"/>
        <w:ind w:firstLine="420"/>
      </w:pPr>
      <w:r>
        <w:rPr>
          <w:rFonts w:hint="eastAsia"/>
          <w:lang w:val="en-US"/>
        </w:rPr>
        <w:t>分析《绿色建筑评价标准》，过渡季</w:t>
      </w:r>
      <w:bookmarkEnd w:id="29"/>
      <w:r>
        <w:rPr>
          <w:rFonts w:hint="eastAsia"/>
          <w:lang w:val="en-US"/>
        </w:rPr>
        <w:t>为充分利用自然通风获得良好的室内风环境，要求50%以上可开启外窗室内外表面的风压差大于0.5Pa</w:t>
      </w:r>
      <w:bookmarkEnd w:id="30"/>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68"/>
    <w:p>
      <w:pPr>
        <w:pStyle w:val="3"/>
        <w:ind w:firstLine="0" w:firstLineChars="0"/>
        <w:jc w:val="center"/>
      </w:pPr>
      <w:r>
        <w:drawing>
          <wp:inline distT="0" distB="0" distL="0" distR="0">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34"/>
    </w:p>
    <w:bookmarkEnd w:id="36"/>
    <w:p>
      <w:pPr>
        <w:pStyle w:val="13"/>
        <w:jc w:val="center"/>
      </w:pPr>
      <w:r>
        <w:drawing>
          <wp:inline distT="0" distB="0" distL="0" distR="0">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6"/>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7"/>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DT单体(总平通风3)</w:t>
            </w:r>
          </w:p>
        </w:tc>
        <w:tc>
          <w:tcPr>
            <w:tcW w:w="1134" w:type="dxa"/>
            <w:shd w:val="clear" w:color="auto" w:fill="auto"/>
            <w:vAlign w:val="center"/>
          </w:tcPr>
          <w:p>
            <w:pPr>
              <w:jc w:val="center"/>
              <w:rPr>
                <w:lang w:val="en-US"/>
              </w:rPr>
            </w:pPr>
            <w:r>
              <w:rPr>
                <w:lang w:val="en-US"/>
              </w:rPr>
              <w:t>727</w:t>
            </w:r>
          </w:p>
        </w:tc>
        <w:tc>
          <w:tcPr>
            <w:tcW w:w="1984" w:type="dxa"/>
            <w:shd w:val="clear" w:color="auto" w:fill="auto"/>
            <w:vAlign w:val="center"/>
          </w:tcPr>
          <w:p>
            <w:pPr>
              <w:jc w:val="center"/>
              <w:rPr>
                <w:lang w:val="en-US"/>
              </w:rPr>
            </w:pPr>
            <w:r>
              <w:rPr>
                <w:lang w:val="en-US"/>
              </w:rPr>
              <w:t>590</w:t>
            </w:r>
          </w:p>
        </w:tc>
        <w:tc>
          <w:tcPr>
            <w:tcW w:w="1116" w:type="dxa"/>
            <w:shd w:val="clear" w:color="auto" w:fill="auto"/>
            <w:vAlign w:val="center"/>
          </w:tcPr>
          <w:p>
            <w:pPr>
              <w:jc w:val="center"/>
              <w:rPr>
                <w:lang w:val="en-US"/>
              </w:rPr>
            </w:pPr>
            <w:r>
              <w:rPr>
                <w:lang w:val="en-US"/>
              </w:rPr>
              <w:t>81.16</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8"/>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456</w:t>
            </w:r>
          </w:p>
        </w:tc>
        <w:tc>
          <w:tcPr>
            <w:tcW w:w="1417" w:type="dxa"/>
            <w:vAlign w:val="center"/>
          </w:tcPr>
          <w:p>
            <w:pPr>
              <w:spacing w:line="360" w:lineRule="exact"/>
              <w:jc w:val="center"/>
              <w:rPr>
                <w:lang w:val="en-US"/>
              </w:rPr>
            </w:pPr>
            <w:r>
              <w:rPr>
                <w:lang w:val="en-US"/>
              </w:rPr>
              <w:t>10195.80</w:t>
            </w:r>
          </w:p>
        </w:tc>
        <w:tc>
          <w:tcPr>
            <w:tcW w:w="2552" w:type="dxa"/>
            <w:vAlign w:val="center"/>
          </w:tcPr>
          <w:p>
            <w:pPr>
              <w:spacing w:line="360" w:lineRule="exact"/>
              <w:jc w:val="center"/>
              <w:rPr>
                <w:lang w:val="en-US"/>
              </w:rPr>
            </w:pPr>
            <w:r>
              <w:rPr>
                <w:lang w:val="en-US"/>
              </w:rPr>
              <w:t>10001.30</w:t>
            </w:r>
          </w:p>
        </w:tc>
        <w:tc>
          <w:tcPr>
            <w:tcW w:w="1134" w:type="dxa"/>
            <w:vAlign w:val="center"/>
          </w:tcPr>
          <w:p>
            <w:pPr>
              <w:spacing w:line="360" w:lineRule="exact"/>
              <w:jc w:val="center"/>
              <w:rPr>
                <w:lang w:val="en-US"/>
              </w:rPr>
            </w:pPr>
            <w:r>
              <w:rPr>
                <w:lang w:val="en-US"/>
              </w:rPr>
              <w:t>98.09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w:t>
            </w:r>
          </w:p>
        </w:tc>
        <w:tc>
          <w:tcPr>
            <w:tcW w:w="1417" w:type="dxa"/>
            <w:vAlign w:val="center"/>
          </w:tcPr>
          <w:p>
            <w:pPr>
              <w:spacing w:line="360" w:lineRule="exact"/>
              <w:jc w:val="center"/>
              <w:rPr>
                <w:lang w:val="en-US"/>
              </w:rPr>
            </w:pPr>
            <w:r>
              <w:rPr>
                <w:lang w:val="en-US"/>
              </w:rPr>
              <w:t>6727.35</w:t>
            </w:r>
          </w:p>
        </w:tc>
        <w:tc>
          <w:tcPr>
            <w:tcW w:w="2552" w:type="dxa"/>
            <w:vAlign w:val="center"/>
          </w:tcPr>
          <w:p>
            <w:pPr>
              <w:spacing w:line="360" w:lineRule="exact"/>
              <w:jc w:val="center"/>
              <w:rPr>
                <w:lang w:val="en-US"/>
              </w:rPr>
            </w:pPr>
            <w:r>
              <w:rPr>
                <w:lang w:val="en-US"/>
              </w:rPr>
              <w:t>6512.11</w:t>
            </w:r>
          </w:p>
        </w:tc>
        <w:tc>
          <w:tcPr>
            <w:tcW w:w="1134" w:type="dxa"/>
            <w:vAlign w:val="center"/>
          </w:tcPr>
          <w:p>
            <w:pPr>
              <w:spacing w:line="360" w:lineRule="exact"/>
              <w:jc w:val="center"/>
              <w:rPr>
                <w:lang w:val="en-US"/>
              </w:rPr>
            </w:pPr>
            <w:r>
              <w:rPr>
                <w:lang w:val="en-US"/>
              </w:rPr>
              <w:t>96.80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w:t>
            </w:r>
          </w:p>
        </w:tc>
        <w:tc>
          <w:tcPr>
            <w:tcW w:w="1417" w:type="dxa"/>
            <w:vAlign w:val="center"/>
          </w:tcPr>
          <w:p>
            <w:pPr>
              <w:spacing w:line="360" w:lineRule="exact"/>
              <w:jc w:val="center"/>
              <w:rPr>
                <w:lang w:val="en-US"/>
              </w:rPr>
            </w:pPr>
            <w:r>
              <w:rPr>
                <w:lang w:val="en-US"/>
              </w:rPr>
              <w:t>5146.76</w:t>
            </w:r>
          </w:p>
        </w:tc>
        <w:tc>
          <w:tcPr>
            <w:tcW w:w="2552" w:type="dxa"/>
            <w:vAlign w:val="center"/>
          </w:tcPr>
          <w:p>
            <w:pPr>
              <w:spacing w:line="360" w:lineRule="exact"/>
              <w:jc w:val="center"/>
              <w:rPr>
                <w:lang w:val="en-US"/>
              </w:rPr>
            </w:pPr>
            <w:r>
              <w:rPr>
                <w:lang w:val="en-US"/>
              </w:rPr>
              <w:t>4913.08</w:t>
            </w:r>
          </w:p>
        </w:tc>
        <w:tc>
          <w:tcPr>
            <w:tcW w:w="1134" w:type="dxa"/>
            <w:vAlign w:val="center"/>
          </w:tcPr>
          <w:p>
            <w:pPr>
              <w:spacing w:line="360" w:lineRule="exact"/>
              <w:jc w:val="center"/>
              <w:rPr>
                <w:lang w:val="en-US"/>
              </w:rPr>
            </w:pPr>
            <w:r>
              <w:rPr>
                <w:lang w:val="en-US"/>
              </w:rPr>
              <w:t>95.46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w:t>
            </w:r>
          </w:p>
        </w:tc>
        <w:tc>
          <w:tcPr>
            <w:tcW w:w="1417" w:type="dxa"/>
            <w:vAlign w:val="center"/>
          </w:tcPr>
          <w:p>
            <w:pPr>
              <w:spacing w:line="360" w:lineRule="exact"/>
              <w:jc w:val="center"/>
              <w:rPr>
                <w:lang w:val="en-US"/>
              </w:rPr>
            </w:pPr>
            <w:r>
              <w:rPr>
                <w:lang w:val="en-US"/>
              </w:rPr>
              <w:t>5542.69</w:t>
            </w:r>
          </w:p>
        </w:tc>
        <w:tc>
          <w:tcPr>
            <w:tcW w:w="2552" w:type="dxa"/>
            <w:vAlign w:val="center"/>
          </w:tcPr>
          <w:p>
            <w:pPr>
              <w:spacing w:line="360" w:lineRule="exact"/>
              <w:jc w:val="center"/>
              <w:rPr>
                <w:lang w:val="en-US"/>
              </w:rPr>
            </w:pPr>
            <w:r>
              <w:rPr>
                <w:lang w:val="en-US"/>
              </w:rPr>
              <w:t>5274.09</w:t>
            </w:r>
          </w:p>
        </w:tc>
        <w:tc>
          <w:tcPr>
            <w:tcW w:w="1134" w:type="dxa"/>
            <w:vAlign w:val="center"/>
          </w:tcPr>
          <w:p>
            <w:pPr>
              <w:spacing w:line="360" w:lineRule="exact"/>
              <w:jc w:val="center"/>
              <w:rPr>
                <w:lang w:val="en-US"/>
              </w:rPr>
            </w:pPr>
            <w:r>
              <w:rPr>
                <w:lang w:val="en-US"/>
              </w:rPr>
              <w:t>95.15</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39"/>
    </w:p>
    <w:p>
      <w:pPr>
        <w:rPr>
          <w:lang w:val="en-US"/>
        </w:rPr>
      </w:pPr>
      <w:r>
        <w:rPr>
          <w:rFonts w:hint="eastAsia"/>
          <w:lang w:val="en-US"/>
        </w:rPr>
        <w:t>结论：本项目中所有建筑均满足“50%以上可开启外窗室内外表面的风压差大于0.5Pa”的要求。</w:t>
      </w:r>
      <w:bookmarkEnd w:id="41"/>
      <w:r>
        <w:rPr>
          <w:rFonts w:hint="eastAsia"/>
          <w:lang w:val="en-US"/>
        </w:rPr>
        <w:t xml:space="preserve"> </w:t>
      </w:r>
    </w:p>
    <w:p>
      <w:pPr>
        <w:rPr>
          <w:lang w:val="en-US"/>
        </w:rPr>
      </w:pPr>
      <w:bookmarkStart w:id="80" w:name="其他工况"/>
      <w:bookmarkEnd w:id="80"/>
      <w:r>
        <w:rPr>
          <w:rFonts w:hint="eastAsia"/>
          <w:lang w:val="en-US"/>
        </w:rPr>
        <w:t xml:space="preserve"> </w:t>
      </w:r>
    </w:p>
    <w:p>
      <w:pPr>
        <w:pStyle w:val="4"/>
      </w:pPr>
      <w:bookmarkStart w:id="81" w:name="_Toc509844764"/>
      <w:bookmarkStart w:id="82" w:name="_Toc3049"/>
      <w:r>
        <w:rPr>
          <w:rFonts w:hint="eastAsia"/>
        </w:rPr>
        <w:t>结论</w:t>
      </w:r>
      <w:bookmarkEnd w:id="81"/>
      <w:bookmarkEnd w:id="82"/>
    </w:p>
    <w:p>
      <w:pPr>
        <w:pStyle w:val="5"/>
      </w:pPr>
      <w:bookmarkStart w:id="83" w:name="_Toc21808"/>
      <w:r>
        <w:rPr>
          <w:rFonts w:hint="eastAsia"/>
        </w:rPr>
        <w:t>冬季工况达标判断</w:t>
      </w:r>
      <w:bookmarkEnd w:id="8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color w:val="FF0000"/>
                <w:lang w:val="en-US"/>
              </w:rPr>
              <w:t>不达标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1"/>
            <w:r>
              <w:rPr>
                <w:rFonts w:hint="eastAsia"/>
                <w:lang w:val="en-US"/>
              </w:rPr>
              <w:t>分</w:t>
            </w:r>
          </w:p>
        </w:tc>
      </w:tr>
      <w:bookmarkEnd w:id="13"/>
      <w:bookmarkEnd w:id="40"/>
    </w:tbl>
    <w:p>
      <w:pPr>
        <w:rPr>
          <w:szCs w:val="21"/>
          <w:lang w:val="en-US"/>
        </w:rPr>
      </w:pPr>
    </w:p>
    <w:bookmarkEnd w:id="0"/>
    <w:bookmarkEnd w:id="1"/>
    <w:p>
      <w:pPr>
        <w:pStyle w:val="5"/>
      </w:pPr>
      <w:bookmarkStart w:id="86" w:name="_GoBack"/>
      <w:bookmarkEnd w:id="86"/>
      <w:bookmarkStart w:id="84" w:name="_Toc10949"/>
      <w:r>
        <w:rPr>
          <w:rFonts w:hint="eastAsia"/>
        </w:rPr>
        <w:t>过渡季、夏季工况达标判断</w:t>
      </w:r>
      <w:bookmarkEnd w:id="2"/>
      <w:bookmarkEnd w:id="84"/>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color w:val="FF0000"/>
                <w:lang w:val="en-US"/>
              </w:rPr>
              <w:t>不达标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7"/>
          </w:p>
        </w:tc>
        <w:tc>
          <w:tcPr>
            <w:tcW w:w="1416" w:type="dxa"/>
            <w:shd w:val="clear" w:color="auto" w:fill="auto"/>
            <w:vAlign w:val="center"/>
          </w:tcPr>
          <w:p>
            <w:pPr>
              <w:jc w:val="center"/>
              <w:rPr>
                <w:lang w:val="en-US"/>
              </w:rPr>
            </w:pPr>
            <w:r>
              <w:rPr>
                <w:rFonts w:hint="eastAsia"/>
                <w:lang w:val="en-US"/>
              </w:rPr>
              <w:t>2</w:t>
            </w:r>
            <w:bookmarkEnd w:id="8"/>
            <w:r>
              <w:rPr>
                <w:rFonts w:hint="eastAsia"/>
                <w:lang w:val="en-US"/>
              </w:rPr>
              <w:t>分</w:t>
            </w:r>
          </w:p>
        </w:tc>
      </w:tr>
      <w:bookmarkEnd w:id="10"/>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85" w:name="总得分"/>
      <w:r>
        <w:rPr>
          <w:rFonts w:hint="eastAsia"/>
          <w:lang w:val="en-US"/>
        </w:rPr>
        <w:t>4</w:t>
      </w:r>
      <w:bookmarkEnd w:id="85"/>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6</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E8D784C"/>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 w:val="2AC40DE5"/>
    <w:rsid w:val="5E8D7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qFormat/>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qFormat/>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qFormat/>
    <w:uiPriority w:val="0"/>
    <w:rPr>
      <w:sz w:val="21"/>
      <w:szCs w:val="18"/>
      <w:lang w:val="en-GB"/>
    </w:rPr>
  </w:style>
  <w:style w:type="character" w:customStyle="1" w:styleId="44">
    <w:name w:val="文档结构图 Char"/>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0" Type="http://schemas.openxmlformats.org/officeDocument/2006/relationships/fontTable" Target="fontTable.xml"/><Relationship Id="rId8" Type="http://schemas.openxmlformats.org/officeDocument/2006/relationships/image" Target="media/image3.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2.bmp"/><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wmf"/><Relationship Id="rId65" Type="http://schemas.openxmlformats.org/officeDocument/2006/relationships/oleObject" Target="embeddings/oleObject7.bin"/><Relationship Id="rId64" Type="http://schemas.openxmlformats.org/officeDocument/2006/relationships/image" Target="media/image53.wmf"/><Relationship Id="rId63" Type="http://schemas.openxmlformats.org/officeDocument/2006/relationships/oleObject" Target="embeddings/oleObject6.bin"/><Relationship Id="rId62" Type="http://schemas.openxmlformats.org/officeDocument/2006/relationships/image" Target="media/image52.wmf"/><Relationship Id="rId61" Type="http://schemas.openxmlformats.org/officeDocument/2006/relationships/oleObject" Target="embeddings/oleObject5.bin"/><Relationship Id="rId60" Type="http://schemas.openxmlformats.org/officeDocument/2006/relationships/image" Target="media/image51.wmf"/><Relationship Id="rId6" Type="http://schemas.openxmlformats.org/officeDocument/2006/relationships/theme" Target="theme/theme1.xml"/><Relationship Id="rId59" Type="http://schemas.openxmlformats.org/officeDocument/2006/relationships/oleObject" Target="embeddings/oleObject4.bin"/><Relationship Id="rId58" Type="http://schemas.openxmlformats.org/officeDocument/2006/relationships/image" Target="media/image50.wmf"/><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2.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w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016;&#30427;&#2790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C39522-0FC9-4A71-8AF7-D033B6892A3D}">
  <ds:schemaRefs/>
</ds:datastoreItem>
</file>

<file path=docProps/app.xml><?xml version="1.0" encoding="utf-8"?>
<Properties xmlns="http://schemas.openxmlformats.org/officeDocument/2006/extended-properties" xmlns:vt="http://schemas.openxmlformats.org/officeDocument/2006/docPropsVTypes">
  <Template>tmp2.dotx</Template>
  <Pages>26</Pages>
  <Words>7510</Words>
  <Characters>8565</Characters>
  <Lines>40</Lines>
  <Paragraphs>11</Paragraphs>
  <TotalTime>0</TotalTime>
  <ScaleCrop>false</ScaleCrop>
  <LinksUpToDate>false</LinksUpToDate>
  <CharactersWithSpaces>8818</CharactersWithSpaces>
  <Application>WPS Office_11.1.0.9998_F1E327BC-269C-435d-A152-05C5408002CA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2020-12-29T14:44:00Z</dcterms:created>
  <dc:creator>泽泽</dc:creator>
  <cp:lastModifiedBy>泽泽</cp:lastModifiedBy>
  <dcterms:modified xsi:type="dcterms:W3CDTF">2021-01-04T14:42:00Z</dcterms:modified>
  <dc:title>室外风环境模拟分析报告</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