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公共建筑－综合权衡</w:t>
      </w:r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节能分析1</w:t>
            </w: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北京-北京</w:t>
            </w: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01</w:t>
            </w: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r>
              <w:rPr>
                <w:rFonts w:hint="eastAsia" w:ascii="宋体" w:hAnsi="宋体"/>
                <w:szCs w:val="21"/>
              </w:rPr>
              <w:t>中国农业大学</w:t>
            </w: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r>
              <w:rPr>
                <w:rFonts w:hint="eastAsia" w:ascii="宋体" w:hAnsi="宋体"/>
                <w:szCs w:val="21"/>
              </w:rPr>
              <w:t>中国农业大学</w:t>
            </w: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2021年1月6日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</w:p>
        </w:tc>
      </w:tr>
      <w:tr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20190909</w:t>
            </w:r>
          </w:p>
        </w:tc>
      </w:tr>
      <w:tr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T15901291237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_Toc29102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_Toc10326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_Toc10326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综合权衡</w:t>
      </w:r>
      <w:r>
        <w:tab/>
      </w:r>
      <w:r>
        <w:fldChar w:fldCharType="begin"/>
      </w:r>
      <w:r>
        <w:instrText xml:space="preserve"> PAGEREF _Toc24343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计算条件</w:t>
      </w:r>
      <w:r>
        <w:tab/>
      </w:r>
      <w:r>
        <w:fldChar w:fldCharType="begin"/>
      </w:r>
      <w:r>
        <w:instrText xml:space="preserve"> PAGEREF _Toc4118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_Toc3334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_Toc30552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_Toc8750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综合权衡</w:t>
      </w:r>
      <w:r>
        <w:tab/>
      </w:r>
      <w:r>
        <w:fldChar w:fldCharType="begin"/>
      </w:r>
      <w:r>
        <w:instrText xml:space="preserve"> PAGEREF _Toc31931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综合权衡判断结论</w:t>
      </w:r>
      <w:r>
        <w:tab/>
      </w:r>
      <w:r>
        <w:fldChar w:fldCharType="begin"/>
      </w:r>
      <w:r>
        <w:instrText xml:space="preserve"> PAGEREF _Toc21146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_Toc31832 </w:instrText>
      </w:r>
      <w:r>
        <w:fldChar w:fldCharType="separate"/>
      </w:r>
      <w:r>
        <w:rPr>
          <w:rFonts w:hint="eastAsia"/>
        </w:rPr>
        <w:t xml:space="preserve">5 </w:t>
      </w:r>
      <w:r>
        <w:t>附录</w:t>
      </w:r>
      <w:r>
        <w:tab/>
      </w:r>
      <w:r>
        <w:fldChar w:fldCharType="begin"/>
      </w:r>
      <w:r>
        <w:instrText xml:space="preserve"> PAGEREF _Toc31832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_Toc10550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工作日/节假日室内空调温度时间表(℃)</w:t>
      </w:r>
      <w:r>
        <w:tab/>
      </w:r>
      <w:r>
        <w:fldChar w:fldCharType="begin"/>
      </w:r>
      <w:r>
        <w:instrText xml:space="preserve"> PAGEREF _Toc10550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_Toc24516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工作日/节假日室内供暖温度时间表(℃)</w:t>
      </w:r>
      <w:r>
        <w:tab/>
      </w:r>
      <w:r>
        <w:fldChar w:fldCharType="begin"/>
      </w:r>
      <w:r>
        <w:instrText xml:space="preserve"> PAGEREF _Toc24516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_Toc4692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_Toc3819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_Toc22406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_Toc22406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_Toc4353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_Toc4353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29102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节能分析1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北京-北京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39.80°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116.47°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5237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3" w:name="地下建筑层数"/>
            <w:r>
              <w:t>0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14.8m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19375.54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4812.35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砖混结构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</w:p>
        </w:tc>
      </w:tr>
      <w:t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</w:p>
        </w:tc>
      </w:tr>
    </w:tbl>
    <w:p>
      <w:pPr>
        <w:pStyle w:val="2"/>
      </w:pPr>
      <w:bookmarkStart w:id="31" w:name="_Toc10326"/>
      <w:bookmarkStart w:id="32" w:name="TitleFormat"/>
      <w:r>
        <w:rPr>
          <w:rFonts w:hint="eastAsia"/>
        </w:rPr>
        <w:t>设计依据</w:t>
      </w:r>
      <w:bookmarkEnd w:id="31"/>
    </w:p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r>
        <w:rPr>
          <w:kern w:val="2"/>
          <w:szCs w:val="24"/>
          <w:lang w:val="en-US"/>
        </w:rPr>
        <w:t>1. 《北京市公共建筑节能设计标准》(DB/11 687—2015)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《建筑外窗气密性能分级及检测方法》（GB/T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4343"/>
      <w:r>
        <w:rPr>
          <w:kern w:val="2"/>
          <w:szCs w:val="24"/>
          <w:lang w:val="en-US"/>
        </w:rPr>
        <w:t>综合权衡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4118"/>
      <w:r>
        <w:rPr>
          <w:kern w:val="2"/>
          <w:szCs w:val="24"/>
          <w:lang w:val="en-US"/>
        </w:rPr>
        <w:t>计算条件</w:t>
      </w:r>
      <w:bookmarkEnd w:id="35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1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2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36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36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3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4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2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3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5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7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0.60</w:t>
            </w:r>
            <w:bookmarkEnd w:id="18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0"/>
          </w:p>
        </w:tc>
      </w:tr>
      <w:tr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1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2"/>
          </w:p>
        </w:tc>
      </w:tr>
      <w:tr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23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24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25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26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  <w:bookmarkEnd w:id="27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28"/>
          </w:p>
        </w:tc>
      </w:tr>
      <w:tr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37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  <w:bookmarkEnd w:id="29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30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  <w:bookmarkEnd w:id="32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33"/>
          </w:p>
        </w:tc>
      </w:tr>
      <w:tr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8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38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39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0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40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1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41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2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42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43"/>
          </w:p>
        </w:tc>
      </w:tr>
      <w:tr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44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45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46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47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48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49"/>
          </w:p>
        </w:tc>
      </w:tr>
      <w:tr>
        <w:trPr>
          <w:cantSplit/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3334"/>
      <w:r>
        <w:rPr>
          <w:kern w:val="2"/>
          <w:szCs w:val="24"/>
          <w:lang w:val="en-US"/>
        </w:rPr>
        <w:t>房间类型</w:t>
      </w:r>
      <w:bookmarkEnd w:id="50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30552"/>
      <w:r>
        <w:rPr>
          <w:kern w:val="2"/>
          <w:szCs w:val="24"/>
          <w:lang w:val="en-US"/>
        </w:rPr>
        <w:t>房间表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8750"/>
      <w:r>
        <w:rPr>
          <w:kern w:val="2"/>
          <w:szCs w:val="24"/>
          <w:lang w:val="en-US"/>
        </w:rPr>
        <w:t>作息时间表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31931"/>
      <w:r>
        <w:rPr>
          <w:kern w:val="2"/>
          <w:szCs w:val="24"/>
          <w:lang w:val="en-US"/>
        </w:rPr>
        <w:t>综合权衡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全年供暖和空调总耗电量(kWh/㎡)</w:t>
            </w:r>
          </w:p>
        </w:tc>
        <w:tc>
          <w:tcPr>
            <w:vAlign w:val="center"/>
          </w:tcPr>
          <w:p>
            <w:r>
              <w:t>44.40</w:t>
            </w:r>
          </w:p>
        </w:tc>
        <w:tc>
          <w:tcPr>
            <w:vAlign w:val="center"/>
          </w:tcPr>
          <w:p>
            <w:r>
              <w:t>40.60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供冷耗电量(kWh/㎡)</w:t>
            </w:r>
          </w:p>
        </w:tc>
        <w:tc>
          <w:tcPr>
            <w:vAlign w:val="center"/>
          </w:tcPr>
          <w:p>
            <w:r>
              <w:t>13.03</w:t>
            </w:r>
          </w:p>
        </w:tc>
        <w:tc>
          <w:tcPr>
            <w:vAlign w:val="center"/>
          </w:tcPr>
          <w:p>
            <w:r>
              <w:t>13.88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供热耗电量(kWh/㎡)</w:t>
            </w:r>
          </w:p>
        </w:tc>
        <w:tc>
          <w:tcPr>
            <w:vAlign w:val="center"/>
          </w:tcPr>
          <w:p>
            <w:r>
              <w:t>31.37</w:t>
            </w:r>
          </w:p>
        </w:tc>
        <w:tc>
          <w:tcPr>
            <w:vAlign w:val="center"/>
          </w:tcPr>
          <w:p>
            <w:r>
              <w:t>26.72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耗冷量(kWh/㎡)</w:t>
            </w:r>
          </w:p>
        </w:tc>
        <w:tc>
          <w:tcPr>
            <w:vAlign w:val="center"/>
          </w:tcPr>
          <w:p>
            <w:r>
              <w:t>32.58</w:t>
            </w:r>
          </w:p>
        </w:tc>
        <w:tc>
          <w:tcPr>
            <w:vAlign w:val="center"/>
          </w:tcPr>
          <w:p>
            <w:r>
              <w:t>34.70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vAlign w:val="center"/>
          </w:tcPr>
          <w:p>
            <w:r>
              <w:t>54.08</w:t>
            </w:r>
          </w:p>
        </w:tc>
        <w:tc>
          <w:tcPr>
            <w:vAlign w:val="center"/>
          </w:tcPr>
          <w:p>
            <w:r>
              <w:t>46.06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《北京市公共建筑节能设计标准》(DB/11 687—2015)第3.3.2条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4" w:name="_Toc21146"/>
      <w:r>
        <w:rPr>
          <w:kern w:val="2"/>
          <w:szCs w:val="24"/>
          <w:lang w:val="en-US"/>
        </w:rPr>
        <w:t>综合权衡判断结论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外门构造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r>
        <w:rPr>
          <w:color w:val="000000"/>
        </w:rPr>
        <w:t>■说明：本工程综合判断</w:t>
      </w:r>
      <w:r>
        <w:rPr>
          <w:b/>
          <w:bCs/>
        </w:rPr>
        <w:t>满足</w:t>
      </w:r>
      <w:r>
        <w:rPr>
          <w:color w:val="000000"/>
        </w:rPr>
        <w:t>《北京市公共建筑节能设计标准》(DB/11 687—2015)规定的要求。节能不符合要求。</w:t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bookmarkStart w:id="62" w:name="_GoBack"/>
      <w:bookmarkEnd w:id="62"/>
    </w:p>
    <w:p>
      <w:pPr>
        <w:pStyle w:val="2"/>
      </w:pPr>
      <w:bookmarkStart w:id="55" w:name="_Toc31832"/>
      <w:r>
        <w:t>附录</w:t>
      </w:r>
      <w:bookmarkEnd w:id="55"/>
    </w:p>
    <w:p>
      <w:pPr>
        <w:pStyle w:val="4"/>
      </w:pPr>
      <w:bookmarkStart w:id="56" w:name="_Toc10550"/>
      <w:r>
        <w:t>工作日/节假日室内空调温度时间表(℃)</w:t>
      </w:r>
      <w:bookmarkEnd w:id="56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57" w:name="_Toc24516"/>
      <w:r>
        <w:t>工作日/节假日室内供暖温度时间表(℃)</w:t>
      </w:r>
      <w:bookmarkEnd w:id="57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58" w:name="_Toc4692"/>
      <w:r>
        <w:t>工作日/节假日人员逐时在室率(%)</w:t>
      </w:r>
      <w:bookmarkEnd w:id="58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59" w:name="_Toc3819"/>
      <w:r>
        <w:t>工作日/节假日照明开关时间表(%)</w:t>
      </w:r>
      <w:bookmarkEnd w:id="59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0" w:name="_Toc22406"/>
      <w:r>
        <w:t>工作日/节假日设备逐时使用率(%)</w:t>
      </w:r>
      <w:bookmarkEnd w:id="60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1" w:name="_Toc4353"/>
      <w:r>
        <w:t>工作日/节假日空调系统运行时间表(1:开,0:关)</w:t>
      </w:r>
      <w:bookmarkEnd w:id="61"/>
    </w:p>
    <w:p/>
    <w:bookmarkEnd w:id="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0AB0308"/>
    <w:rsid w:val="25E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5126</Characters>
  <Lines>42</Lines>
  <Paragraphs>12</Paragraphs>
  <TotalTime>1</TotalTime>
  <ScaleCrop>false</ScaleCrop>
  <LinksUpToDate>false</LinksUpToDate>
  <CharactersWithSpaces>6013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十里不同风</cp:lastModifiedBy>
  <cp:lastPrinted>2411-12-31T16:00:00Z</cp:lastPrinted>
  <dcterms:modified xsi:type="dcterms:W3CDTF">2021-01-06T14:04:34Z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