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val="0"/>
          <w:bCs w:val="0"/>
          <w:color w:val="FF0000"/>
          <w:sz w:val="24"/>
          <w:szCs w:val="24"/>
          <w:lang w:val="en-US" w:eastAsia="zh-CN"/>
        </w:rPr>
      </w:pPr>
      <w:r>
        <w:rPr>
          <w:rFonts w:hint="eastAsia" w:ascii="宋体" w:hAnsi="宋体"/>
          <w:b w:val="0"/>
          <w:bCs w:val="0"/>
          <w:color w:val="FF0000"/>
          <w:sz w:val="24"/>
          <w:szCs w:val="24"/>
          <w:lang w:val="en-US" w:eastAsia="zh-CN"/>
        </w:rPr>
        <w:t>本项目的设计目标为：</w:t>
      </w:r>
      <w:r>
        <w:rPr>
          <w:rFonts w:hint="eastAsia" w:ascii="宋体" w:hAnsi="宋体"/>
          <w:b/>
          <w:bCs/>
          <w:color w:val="FF0000"/>
          <w:sz w:val="24"/>
          <w:szCs w:val="24"/>
          <w:lang w:val="en-US" w:eastAsia="zh-CN"/>
        </w:rPr>
        <w:t>北方工业大学校园内的12 13号居民楼</w:t>
      </w:r>
      <w:r>
        <w:rPr>
          <w:rFonts w:hint="eastAsia" w:ascii="宋体" w:hAnsi="宋体"/>
          <w:b w:val="0"/>
          <w:bCs w:val="0"/>
          <w:color w:val="FF0000"/>
          <w:sz w:val="24"/>
          <w:szCs w:val="24"/>
          <w:lang w:val="en-US" w:eastAsia="zh-CN"/>
        </w:rPr>
        <w:t>。模拟环境包括了：该建筑、其他居民楼、食堂、公寓、服务楼。</w:t>
      </w:r>
    </w:p>
    <w:p>
      <w:pPr>
        <w:spacing w:line="180" w:lineRule="atLeast"/>
        <w:rPr>
          <w:rFonts w:hint="eastAsia"/>
          <w:b w:val="0"/>
          <w:bCs w:val="0"/>
          <w:color w:val="FF0000"/>
          <w:sz w:val="24"/>
          <w:szCs w:val="24"/>
          <w:lang w:val="en-US" w:eastAsia="zh-CN"/>
        </w:rPr>
      </w:pPr>
      <w:r>
        <w:rPr>
          <w:rFonts w:hint="eastAsia" w:ascii="宋体" w:hAnsi="宋体"/>
          <w:b w:val="0"/>
          <w:bCs w:val="0"/>
          <w:color w:val="FF0000"/>
          <w:sz w:val="24"/>
          <w:szCs w:val="24"/>
          <w:lang w:val="en-US" w:eastAsia="zh-CN"/>
        </w:rPr>
        <w:t>本项目</w:t>
      </w:r>
      <w:r>
        <w:rPr>
          <w:rFonts w:hint="eastAsia" w:ascii="宋体" w:hAnsi="宋体"/>
          <w:b/>
          <w:bCs/>
          <w:color w:val="FF0000"/>
          <w:sz w:val="24"/>
          <w:szCs w:val="24"/>
          <w:lang w:val="en-US" w:eastAsia="zh-CN"/>
        </w:rPr>
        <w:t>不完全属于住宅小区</w:t>
      </w:r>
      <w:r>
        <w:rPr>
          <w:rFonts w:hint="eastAsia" w:ascii="宋体" w:hAnsi="宋体"/>
          <w:b w:val="0"/>
          <w:bCs w:val="0"/>
          <w:color w:val="FF0000"/>
          <w:sz w:val="24"/>
          <w:szCs w:val="24"/>
          <w:lang w:val="en-US" w:eastAsia="zh-CN"/>
        </w:rPr>
        <w:t>。因此不能</w:t>
      </w:r>
      <w:r>
        <w:rPr>
          <w:rFonts w:hint="eastAsia"/>
          <w:b w:val="0"/>
          <w:bCs w:val="0"/>
          <w:color w:val="FF0000"/>
          <w:sz w:val="24"/>
          <w:szCs w:val="24"/>
          <w:lang w:val="en-US"/>
        </w:rPr>
        <w:t>城市居住区热环境设计标准</w:t>
      </w:r>
      <w:r>
        <w:rPr>
          <w:rFonts w:hint="eastAsia"/>
          <w:b w:val="0"/>
          <w:bCs w:val="0"/>
          <w:color w:val="FF0000"/>
          <w:sz w:val="24"/>
          <w:szCs w:val="24"/>
          <w:lang w:val="en-US" w:eastAsia="zh-CN"/>
        </w:rPr>
        <w:t>进行评价</w:t>
      </w:r>
      <w:r>
        <w:rPr>
          <w:rFonts w:hint="eastAsia"/>
          <w:b/>
          <w:bCs/>
          <w:color w:val="FF0000"/>
          <w:sz w:val="24"/>
          <w:szCs w:val="24"/>
          <w:lang w:val="en-US" w:eastAsia="zh-CN"/>
        </w:rPr>
        <w:t>满足于不满足</w:t>
      </w:r>
      <w:r>
        <w:rPr>
          <w:rFonts w:hint="eastAsia"/>
          <w:b w:val="0"/>
          <w:bCs w:val="0"/>
          <w:color w:val="FF0000"/>
          <w:sz w:val="24"/>
          <w:szCs w:val="24"/>
          <w:lang w:val="en-US" w:eastAsia="zh-CN"/>
        </w:rPr>
        <w:t>。</w:t>
      </w:r>
    </w:p>
    <w:p>
      <w:pPr>
        <w:spacing w:line="180" w:lineRule="atLeast"/>
        <w:rPr>
          <w:rFonts w:hint="default" w:ascii="宋体" w:hAnsi="宋体" w:eastAsia="宋体"/>
          <w:b w:val="0"/>
          <w:bCs w:val="0"/>
          <w:color w:val="FF0000"/>
          <w:sz w:val="24"/>
          <w:szCs w:val="24"/>
          <w:lang w:val="en-US" w:eastAsia="zh-CN"/>
        </w:rPr>
      </w:pPr>
      <w:r>
        <w:rPr>
          <w:rFonts w:hint="eastAsia"/>
          <w:b w:val="0"/>
          <w:bCs w:val="0"/>
          <w:color w:val="FF0000"/>
          <w:sz w:val="24"/>
          <w:szCs w:val="24"/>
          <w:lang w:val="en-US" w:eastAsia="zh-CN"/>
        </w:rPr>
        <w:t>为了学习TERA软件，借助软件进行优化设计和可视化场地温度分布。仍使用了该软件，并导出了报告书。</w:t>
      </w:r>
    </w:p>
    <w:p>
      <w:pPr>
        <w:spacing w:before="312" w:beforeLines="100" w:line="180" w:lineRule="atLeast"/>
        <w:jc w:val="center"/>
        <w:rPr>
          <w:rFonts w:ascii="黑体" w:hAnsi="宋体" w:eastAsia="黑体"/>
          <w:b/>
          <w:bCs/>
          <w:sz w:val="72"/>
          <w:szCs w:val="72"/>
        </w:rPr>
      </w:pPr>
      <w:bookmarkStart w:id="58" w:name="_GoBack"/>
      <w:bookmarkEnd w:id="58"/>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XXX住宅小区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北京</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T15210422091</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"_Toc16494766" </w:instrText>
      </w:r>
      <w:r>
        <w:fldChar w:fldCharType="separate"/>
      </w:r>
      <w:r>
        <w:rPr>
          <w:rStyle w:val="24"/>
        </w:rPr>
        <w:t>1</w:t>
      </w:r>
      <w:r>
        <w:rPr>
          <w:rFonts w:asciiTheme="minorHAnsi" w:hAnsiTheme="minorHAnsi" w:eastAsiaTheme="minorEastAsia" w:cstheme="minorBidi"/>
          <w:b w:val="0"/>
          <w:bCs w:val="0"/>
          <w:szCs w:val="22"/>
        </w:rPr>
        <w:tab/>
      </w:r>
      <w:r>
        <w:rPr>
          <w:rStyle w:val="24"/>
          <w:rFonts w:hint="eastAsia"/>
        </w:rPr>
        <w:t>住区概况</w:t>
      </w:r>
      <w:r>
        <w:tab/>
      </w:r>
      <w:r>
        <w:fldChar w:fldCharType="begin"/>
      </w:r>
      <w:r>
        <w:instrText xml:space="preserve"> PAGEREF _Toc16494766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"_Toc16494767" </w:instrText>
      </w:r>
      <w:r>
        <w:fldChar w:fldCharType="separate"/>
      </w:r>
      <w:r>
        <w:rPr>
          <w:rStyle w:val="24"/>
        </w:rPr>
        <w:t>2</w:t>
      </w:r>
      <w:r>
        <w:rPr>
          <w:rFonts w:asciiTheme="minorHAnsi" w:hAnsiTheme="minorHAnsi" w:eastAsiaTheme="minorEastAsia" w:cstheme="minorBidi"/>
          <w:b w:val="0"/>
          <w:bCs w:val="0"/>
          <w:szCs w:val="22"/>
        </w:rPr>
        <w:tab/>
      </w:r>
      <w:r>
        <w:rPr>
          <w:rStyle w:val="24"/>
          <w:rFonts w:hint="eastAsia"/>
        </w:rPr>
        <w:t>设计依据</w:t>
      </w:r>
      <w:r>
        <w:tab/>
      </w:r>
      <w:r>
        <w:fldChar w:fldCharType="begin"/>
      </w:r>
      <w:r>
        <w:instrText xml:space="preserve"> PAGEREF _Toc16494767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"_Toc16494768" </w:instrText>
      </w:r>
      <w:r>
        <w:fldChar w:fldCharType="separate"/>
      </w:r>
      <w:r>
        <w:rPr>
          <w:rStyle w:val="24"/>
        </w:rPr>
        <w:t>3</w:t>
      </w:r>
      <w:r>
        <w:rPr>
          <w:rFonts w:asciiTheme="minorHAnsi" w:hAnsiTheme="minorHAnsi" w:eastAsiaTheme="minorEastAsia" w:cstheme="minorBidi"/>
          <w:b w:val="0"/>
          <w:bCs w:val="0"/>
          <w:szCs w:val="22"/>
        </w:rPr>
        <w:tab/>
      </w:r>
      <w:r>
        <w:rPr>
          <w:rStyle w:val="24"/>
          <w:rFonts w:hint="eastAsia"/>
        </w:rPr>
        <w:t>计算规定</w:t>
      </w:r>
      <w:r>
        <w:tab/>
      </w:r>
      <w:r>
        <w:fldChar w:fldCharType="begin"/>
      </w:r>
      <w:r>
        <w:instrText xml:space="preserve"> PAGEREF _Toc16494768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"_Toc16494769" </w:instrText>
      </w:r>
      <w:r>
        <w:fldChar w:fldCharType="separate"/>
      </w:r>
      <w:r>
        <w:rPr>
          <w:rStyle w:val="24"/>
          <w:lang w:val="en-GB"/>
        </w:rPr>
        <w:t>3.1</w:t>
      </w:r>
      <w:r>
        <w:rPr>
          <w:rFonts w:asciiTheme="minorHAnsi" w:hAnsiTheme="minorHAnsi" w:eastAsiaTheme="minorEastAsia" w:cstheme="minorBidi"/>
          <w:szCs w:val="22"/>
        </w:rPr>
        <w:tab/>
      </w:r>
      <w:r>
        <w:rPr>
          <w:rStyle w:val="24"/>
          <w:rFonts w:hint="eastAsia"/>
        </w:rPr>
        <w:t>强制条文</w:t>
      </w:r>
      <w:r>
        <w:tab/>
      </w:r>
      <w:r>
        <w:fldChar w:fldCharType="begin"/>
      </w:r>
      <w:r>
        <w:instrText xml:space="preserve"> PAGEREF _Toc16494769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"_Toc16494770" </w:instrText>
      </w:r>
      <w:r>
        <w:fldChar w:fldCharType="separate"/>
      </w:r>
      <w:r>
        <w:rPr>
          <w:rStyle w:val="24"/>
          <w:lang w:val="en-GB"/>
        </w:rPr>
        <w:t>3.2</w:t>
      </w:r>
      <w:r>
        <w:rPr>
          <w:rFonts w:asciiTheme="minorHAnsi" w:hAnsiTheme="minorHAnsi" w:eastAsiaTheme="minorEastAsia" w:cstheme="minorBidi"/>
          <w:szCs w:val="22"/>
        </w:rPr>
        <w:tab/>
      </w:r>
      <w:r>
        <w:rPr>
          <w:rStyle w:val="24"/>
          <w:rFonts w:hint="eastAsia"/>
        </w:rPr>
        <w:t>规定性设计</w:t>
      </w:r>
      <w:r>
        <w:tab/>
      </w:r>
      <w:r>
        <w:fldChar w:fldCharType="begin"/>
      </w:r>
      <w:r>
        <w:instrText xml:space="preserve"> PAGEREF _Toc16494770 \h </w:instrText>
      </w:r>
      <w:r>
        <w:fldChar w:fldCharType="separate"/>
      </w:r>
      <w:r>
        <w:t>5</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"_Toc16494771" </w:instrText>
      </w:r>
      <w:r>
        <w:fldChar w:fldCharType="separate"/>
      </w:r>
      <w:r>
        <w:rPr>
          <w:rStyle w:val="24"/>
          <w:lang w:val="en-GB"/>
        </w:rPr>
        <w:t>3.3</w:t>
      </w:r>
      <w:r>
        <w:rPr>
          <w:rFonts w:asciiTheme="minorHAnsi" w:hAnsiTheme="minorHAnsi" w:eastAsiaTheme="minorEastAsia" w:cstheme="minorBidi"/>
          <w:szCs w:val="22"/>
        </w:rPr>
        <w:tab/>
      </w:r>
      <w:r>
        <w:rPr>
          <w:rStyle w:val="24"/>
          <w:rFonts w:hint="eastAsia"/>
        </w:rPr>
        <w:t>评价性设计</w:t>
      </w:r>
      <w:r>
        <w:tab/>
      </w:r>
      <w:r>
        <w:fldChar w:fldCharType="begin"/>
      </w:r>
      <w:r>
        <w:instrText xml:space="preserve"> PAGEREF _Toc16494771 \h </w:instrText>
      </w:r>
      <w:r>
        <w:fldChar w:fldCharType="separate"/>
      </w:r>
      <w:r>
        <w:t>6</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"_Toc16494772" </w:instrText>
      </w:r>
      <w:r>
        <w:fldChar w:fldCharType="separate"/>
      </w:r>
      <w:r>
        <w:rPr>
          <w:rStyle w:val="24"/>
        </w:rPr>
        <w:t>4</w:t>
      </w:r>
      <w:r>
        <w:rPr>
          <w:rFonts w:asciiTheme="minorHAnsi" w:hAnsiTheme="minorHAnsi" w:eastAsiaTheme="minorEastAsia" w:cstheme="minorBidi"/>
          <w:b w:val="0"/>
          <w:bCs w:val="0"/>
          <w:szCs w:val="22"/>
        </w:rPr>
        <w:tab/>
      </w:r>
      <w:r>
        <w:rPr>
          <w:rStyle w:val="24"/>
          <w:rFonts w:hint="eastAsia"/>
        </w:rPr>
        <w:t>计算参数</w:t>
      </w:r>
      <w:r>
        <w:tab/>
      </w:r>
      <w:r>
        <w:fldChar w:fldCharType="begin"/>
      </w:r>
      <w:r>
        <w:instrText xml:space="preserve"> PAGEREF _Toc16494772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"_Toc16494773" </w:instrText>
      </w:r>
      <w:r>
        <w:fldChar w:fldCharType="separate"/>
      </w:r>
      <w:r>
        <w:rPr>
          <w:rStyle w:val="24"/>
          <w:lang w:val="en-GB"/>
        </w:rPr>
        <w:t>4.1</w:t>
      </w:r>
      <w:r>
        <w:rPr>
          <w:rFonts w:asciiTheme="minorHAnsi" w:hAnsiTheme="minorHAnsi" w:eastAsiaTheme="minorEastAsia" w:cstheme="minorBidi"/>
          <w:szCs w:val="22"/>
        </w:rPr>
        <w:tab/>
      </w:r>
      <w:r>
        <w:rPr>
          <w:rStyle w:val="24"/>
          <w:rFonts w:hint="eastAsia"/>
        </w:rPr>
        <w:t>典型气象日气象参数</w:t>
      </w:r>
      <w:r>
        <w:tab/>
      </w:r>
      <w:r>
        <w:fldChar w:fldCharType="begin"/>
      </w:r>
      <w:r>
        <w:instrText xml:space="preserve"> PAGEREF _Toc16494773 \h </w:instrText>
      </w:r>
      <w:r>
        <w:fldChar w:fldCharType="separate"/>
      </w:r>
      <w:r>
        <w:t>6</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"_Toc16494774" </w:instrText>
      </w:r>
      <w:r>
        <w:fldChar w:fldCharType="separate"/>
      </w:r>
      <w:r>
        <w:rPr>
          <w:rStyle w:val="24"/>
          <w:lang w:val="en-GB"/>
        </w:rPr>
        <w:t>4.2</w:t>
      </w:r>
      <w:r>
        <w:rPr>
          <w:rFonts w:asciiTheme="minorHAnsi" w:hAnsiTheme="minorHAnsi" w:eastAsiaTheme="minorEastAsia" w:cstheme="minorBidi"/>
          <w:szCs w:val="22"/>
        </w:rPr>
        <w:tab/>
      </w:r>
      <w:r>
        <w:rPr>
          <w:rStyle w:val="24"/>
          <w:rFonts w:hint="eastAsia"/>
        </w:rPr>
        <w:t>渗透面夏季逐时蒸发量</w:t>
      </w:r>
      <w:r>
        <w:tab/>
      </w:r>
      <w:r>
        <w:fldChar w:fldCharType="begin"/>
      </w:r>
      <w:r>
        <w:instrText xml:space="preserve"> PAGEREF _Toc16494774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"_Toc16494775" </w:instrText>
      </w:r>
      <w:r>
        <w:fldChar w:fldCharType="separate"/>
      </w:r>
      <w:r>
        <w:rPr>
          <w:rStyle w:val="24"/>
        </w:rPr>
        <w:t>5</w:t>
      </w:r>
      <w:r>
        <w:rPr>
          <w:rFonts w:asciiTheme="minorHAnsi" w:hAnsiTheme="minorHAnsi" w:eastAsiaTheme="minorEastAsia" w:cstheme="minorBidi"/>
          <w:b w:val="0"/>
          <w:bCs w:val="0"/>
          <w:szCs w:val="22"/>
        </w:rPr>
        <w:tab/>
      </w:r>
      <w:r>
        <w:rPr>
          <w:rStyle w:val="24"/>
          <w:rFonts w:hint="eastAsia"/>
        </w:rPr>
        <w:t>住区指标概览</w:t>
      </w:r>
      <w:r>
        <w:tab/>
      </w:r>
      <w:r>
        <w:fldChar w:fldCharType="begin"/>
      </w:r>
      <w:r>
        <w:instrText xml:space="preserve"> PAGEREF _Toc16494775 \h </w:instrText>
      </w:r>
      <w:r>
        <w:fldChar w:fldCharType="separate"/>
      </w:r>
      <w:r>
        <w:t>7</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"_Toc16494776" </w:instrText>
      </w:r>
      <w:r>
        <w:fldChar w:fldCharType="separate"/>
      </w:r>
      <w:r>
        <w:rPr>
          <w:rStyle w:val="24"/>
        </w:rPr>
        <w:t>6</w:t>
      </w:r>
      <w:r>
        <w:rPr>
          <w:rFonts w:asciiTheme="minorHAnsi" w:hAnsiTheme="minorHAnsi" w:eastAsiaTheme="minorEastAsia" w:cstheme="minorBidi"/>
          <w:b w:val="0"/>
          <w:bCs w:val="0"/>
          <w:szCs w:val="22"/>
        </w:rPr>
        <w:tab/>
      </w:r>
      <w:r>
        <w:rPr>
          <w:rStyle w:val="24"/>
          <w:rFonts w:hint="eastAsia"/>
        </w:rPr>
        <w:t>规定性设计指标</w:t>
      </w:r>
      <w:r>
        <w:tab/>
      </w:r>
      <w:r>
        <w:fldChar w:fldCharType="begin"/>
      </w:r>
      <w:r>
        <w:instrText xml:space="preserve"> PAGEREF _Toc16494776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"_Toc16494777" </w:instrText>
      </w:r>
      <w:r>
        <w:fldChar w:fldCharType="separate"/>
      </w:r>
      <w:r>
        <w:rPr>
          <w:rStyle w:val="24"/>
          <w:lang w:val="en-GB"/>
        </w:rPr>
        <w:t>6.1</w:t>
      </w:r>
      <w:r>
        <w:rPr>
          <w:rFonts w:asciiTheme="minorHAnsi" w:hAnsiTheme="minorHAnsi" w:eastAsiaTheme="minorEastAsia" w:cstheme="minorBidi"/>
          <w:szCs w:val="22"/>
        </w:rPr>
        <w:tab/>
      </w:r>
      <w:r>
        <w:rPr>
          <w:rStyle w:val="24"/>
          <w:rFonts w:hint="eastAsia"/>
        </w:rPr>
        <w:t>平均迎风面积比</w:t>
      </w:r>
      <w:r>
        <w:tab/>
      </w:r>
      <w:r>
        <w:fldChar w:fldCharType="begin"/>
      </w:r>
      <w:r>
        <w:instrText xml:space="preserve"> PAGEREF _Toc16494777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"_Toc16494778" </w:instrText>
      </w:r>
      <w:r>
        <w:fldChar w:fldCharType="separate"/>
      </w:r>
      <w:r>
        <w:rPr>
          <w:rStyle w:val="24"/>
          <w:lang w:val="en-GB"/>
        </w:rPr>
        <w:t>6.2</w:t>
      </w:r>
      <w:r>
        <w:rPr>
          <w:rFonts w:asciiTheme="minorHAnsi" w:hAnsiTheme="minorHAnsi" w:eastAsiaTheme="minorEastAsia" w:cstheme="minorBidi"/>
          <w:szCs w:val="22"/>
        </w:rPr>
        <w:tab/>
      </w:r>
      <w:r>
        <w:rPr>
          <w:rStyle w:val="24"/>
          <w:rFonts w:hint="eastAsia"/>
        </w:rPr>
        <w:t>活动场地遮阳覆盖率</w:t>
      </w:r>
      <w:r>
        <w:tab/>
      </w:r>
      <w:r>
        <w:fldChar w:fldCharType="begin"/>
      </w:r>
      <w:r>
        <w:instrText xml:space="preserve"> PAGEREF _Toc16494778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"_Toc16494779" </w:instrText>
      </w:r>
      <w:r>
        <w:fldChar w:fldCharType="separate"/>
      </w:r>
      <w:r>
        <w:rPr>
          <w:rStyle w:val="24"/>
          <w:lang w:val="en-GB"/>
        </w:rPr>
        <w:t>6.3</w:t>
      </w:r>
      <w:r>
        <w:rPr>
          <w:rFonts w:asciiTheme="minorHAnsi" w:hAnsiTheme="minorHAnsi" w:eastAsiaTheme="minorEastAsia" w:cstheme="minorBidi"/>
          <w:szCs w:val="22"/>
        </w:rPr>
        <w:tab/>
      </w:r>
      <w:r>
        <w:rPr>
          <w:rStyle w:val="24"/>
          <w:rFonts w:hint="eastAsia"/>
        </w:rPr>
        <w:t>底层通风架空率</w:t>
      </w:r>
      <w:r>
        <w:tab/>
      </w:r>
      <w:r>
        <w:fldChar w:fldCharType="begin"/>
      </w:r>
      <w:r>
        <w:instrText xml:space="preserve"> PAGEREF _Toc16494779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"_Toc16494780" </w:instrText>
      </w:r>
      <w:r>
        <w:fldChar w:fldCharType="separate"/>
      </w:r>
      <w:r>
        <w:rPr>
          <w:rStyle w:val="24"/>
          <w:lang w:val="en-GB"/>
        </w:rPr>
        <w:t>6.4</w:t>
      </w:r>
      <w:r>
        <w:rPr>
          <w:rFonts w:asciiTheme="minorHAnsi" w:hAnsiTheme="minorHAnsi" w:eastAsiaTheme="minorEastAsia" w:cstheme="minorBidi"/>
          <w:szCs w:val="22"/>
        </w:rPr>
        <w:tab/>
      </w:r>
      <w:r>
        <w:rPr>
          <w:rStyle w:val="24"/>
          <w:rFonts w:hint="eastAsia"/>
        </w:rPr>
        <w:t>绿化遮阳体叶面积指数</w:t>
      </w:r>
      <w:r>
        <w:tab/>
      </w:r>
      <w:r>
        <w:fldChar w:fldCharType="begin"/>
      </w:r>
      <w:r>
        <w:instrText xml:space="preserve"> PAGEREF _Toc16494780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"_Toc16494781" </w:instrText>
      </w:r>
      <w:r>
        <w:fldChar w:fldCharType="separate"/>
      </w:r>
      <w:r>
        <w:rPr>
          <w:rStyle w:val="24"/>
          <w:lang w:val="en-GB"/>
        </w:rPr>
        <w:t>6.5</w:t>
      </w:r>
      <w:r>
        <w:rPr>
          <w:rFonts w:asciiTheme="minorHAnsi" w:hAnsiTheme="minorHAnsi" w:eastAsiaTheme="minorEastAsia" w:cstheme="minorBidi"/>
          <w:szCs w:val="22"/>
        </w:rPr>
        <w:tab/>
      </w:r>
      <w:r>
        <w:rPr>
          <w:rStyle w:val="24"/>
          <w:rFonts w:hint="eastAsia"/>
        </w:rPr>
        <w:t>渗透蒸发指标</w:t>
      </w:r>
      <w:r>
        <w:tab/>
      </w:r>
      <w:r>
        <w:fldChar w:fldCharType="begin"/>
      </w:r>
      <w:r>
        <w:instrText xml:space="preserve"> PAGEREF _Toc16494781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"_Toc16494782" </w:instrText>
      </w:r>
      <w:r>
        <w:fldChar w:fldCharType="separate"/>
      </w:r>
      <w:r>
        <w:rPr>
          <w:rStyle w:val="24"/>
          <w:lang w:val="en-GB"/>
        </w:rPr>
        <w:t>6.6</w:t>
      </w:r>
      <w:r>
        <w:rPr>
          <w:rFonts w:asciiTheme="minorHAnsi" w:hAnsiTheme="minorHAnsi" w:eastAsiaTheme="minorEastAsia" w:cstheme="minorBidi"/>
          <w:szCs w:val="22"/>
        </w:rPr>
        <w:tab/>
      </w:r>
      <w:r>
        <w:rPr>
          <w:rStyle w:val="24"/>
          <w:rFonts w:hint="eastAsia"/>
        </w:rPr>
        <w:t>屋面绿化率</w:t>
      </w:r>
      <w:r>
        <w:tab/>
      </w:r>
      <w:r>
        <w:fldChar w:fldCharType="begin"/>
      </w:r>
      <w:r>
        <w:instrText xml:space="preserve"> PAGEREF _Toc16494782 \h </w:instrText>
      </w:r>
      <w:r>
        <w:fldChar w:fldCharType="separate"/>
      </w:r>
      <w:r>
        <w:t>10</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"_Toc16494783" </w:instrText>
      </w:r>
      <w:r>
        <w:fldChar w:fldCharType="separate"/>
      </w:r>
      <w:r>
        <w:rPr>
          <w:rStyle w:val="24"/>
        </w:rPr>
        <w:t>7</w:t>
      </w:r>
      <w:r>
        <w:rPr>
          <w:rFonts w:asciiTheme="minorHAnsi" w:hAnsiTheme="minorHAnsi" w:eastAsiaTheme="minorEastAsia" w:cstheme="minorBidi"/>
          <w:b w:val="0"/>
          <w:bCs w:val="0"/>
          <w:szCs w:val="22"/>
        </w:rPr>
        <w:tab/>
      </w:r>
      <w:r>
        <w:rPr>
          <w:rStyle w:val="24"/>
          <w:rFonts w:hint="eastAsia"/>
        </w:rPr>
        <w:t>评价性设计</w:t>
      </w:r>
      <w:r>
        <w:tab/>
      </w:r>
      <w:r>
        <w:fldChar w:fldCharType="begin"/>
      </w:r>
      <w:r>
        <w:instrText xml:space="preserve"> PAGEREF _Toc16494783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"_Toc16494784" </w:instrText>
      </w:r>
      <w:r>
        <w:fldChar w:fldCharType="separate"/>
      </w:r>
      <w:r>
        <w:rPr>
          <w:rStyle w:val="24"/>
          <w:lang w:val="en-GB"/>
        </w:rPr>
        <w:t>7.1</w:t>
      </w:r>
      <w:r>
        <w:rPr>
          <w:rFonts w:asciiTheme="minorHAnsi" w:hAnsiTheme="minorHAnsi" w:eastAsiaTheme="minorEastAsia" w:cstheme="minorBidi"/>
          <w:szCs w:val="22"/>
        </w:rPr>
        <w:tab/>
      </w:r>
      <w:r>
        <w:rPr>
          <w:rStyle w:val="24"/>
          <w:rFonts w:hint="eastAsia"/>
        </w:rPr>
        <w:t>平均热岛强度</w:t>
      </w:r>
      <w:r>
        <w:tab/>
      </w:r>
      <w:r>
        <w:fldChar w:fldCharType="begin"/>
      </w:r>
      <w:r>
        <w:instrText xml:space="preserve"> PAGEREF _Toc16494784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"_Toc16494785" </w:instrText>
      </w:r>
      <w:r>
        <w:fldChar w:fldCharType="separate"/>
      </w:r>
      <w:r>
        <w:rPr>
          <w:rStyle w:val="24"/>
          <w:lang w:val="en-GB"/>
        </w:rPr>
        <w:t>7.2</w:t>
      </w:r>
      <w:r>
        <w:rPr>
          <w:rFonts w:asciiTheme="minorHAnsi" w:hAnsiTheme="minorHAnsi" w:eastAsiaTheme="minorEastAsia" w:cstheme="minorBidi"/>
          <w:szCs w:val="22"/>
        </w:rPr>
        <w:tab/>
      </w:r>
      <w:r>
        <w:rPr>
          <w:rStyle w:val="24"/>
          <w:rFonts w:hint="eastAsia"/>
        </w:rPr>
        <w:t>湿球黑球温度</w:t>
      </w:r>
      <w:r>
        <w:tab/>
      </w:r>
      <w:r>
        <w:fldChar w:fldCharType="begin"/>
      </w:r>
      <w:r>
        <w:instrText xml:space="preserve"> PAGEREF _Toc16494785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"_Toc16494786" </w:instrText>
      </w:r>
      <w:r>
        <w:fldChar w:fldCharType="separate"/>
      </w:r>
      <w:r>
        <w:rPr>
          <w:rStyle w:val="24"/>
        </w:rPr>
        <w:t>8</w:t>
      </w:r>
      <w:r>
        <w:rPr>
          <w:rFonts w:asciiTheme="minorHAnsi" w:hAnsiTheme="minorHAnsi" w:eastAsiaTheme="minorEastAsia" w:cstheme="minorBidi"/>
          <w:b w:val="0"/>
          <w:bCs w:val="0"/>
          <w:szCs w:val="22"/>
        </w:rPr>
        <w:tab/>
      </w:r>
      <w:r>
        <w:rPr>
          <w:rStyle w:val="24"/>
          <w:rFonts w:hint="eastAsia"/>
        </w:rPr>
        <w:t>结论</w:t>
      </w:r>
      <w:r>
        <w:tab/>
      </w:r>
      <w:r>
        <w:fldChar w:fldCharType="begin"/>
      </w:r>
      <w:r>
        <w:instrText xml:space="preserve"> PAGEREF _Toc16494786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16494766"/>
      <w:r>
        <w:rPr>
          <w:rFonts w:hint="eastAsia"/>
        </w:rPr>
        <w:t>住区概况</w:t>
      </w:r>
      <w:bookmarkEnd w:id="11"/>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XXX住宅小区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北京</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39.95</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116.32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IIA</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16494767"/>
      <w:bookmarkStart w:id="23" w:name="TitleFormat"/>
      <w:r>
        <w:rPr>
          <w:rFonts w:hint="eastAsia"/>
        </w:rPr>
        <w:t>设计依据</w:t>
      </w:r>
      <w:bookmarkEnd w:id="22"/>
    </w:p>
    <w:bookmarkEnd w:id="23"/>
    <w:p>
      <w:pPr>
        <w:widowControl w:val="0"/>
        <w:jc w:val="both"/>
        <w:rPr>
          <w:kern w:val="2"/>
          <w:szCs w:val="24"/>
          <w:lang w:val="en-US"/>
        </w:rPr>
      </w:pPr>
      <w:bookmarkStart w:id="24" w:name="计算依据"/>
      <w:bookmarkEnd w:id="24"/>
      <w:r>
        <w:rPr>
          <w:rFonts w:hint="eastAsia"/>
          <w:kern w:val="2"/>
          <w:szCs w:val="24"/>
          <w:lang w:val="en-US"/>
        </w:rPr>
        <w:t>《城市居住区热环境设计标准》（JGJ 286-2013）</w:t>
      </w:r>
    </w:p>
    <w:p>
      <w:pPr>
        <w:pStyle w:val="2"/>
      </w:pPr>
      <w:bookmarkStart w:id="25" w:name="_Toc16494768"/>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16494769"/>
      <w:r>
        <w:rPr>
          <w:rFonts w:hint="eastAsia"/>
        </w:rPr>
        <w:t>强制条文</w:t>
      </w:r>
      <w:bookmarkEnd w:id="26"/>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16494770"/>
      <w:r>
        <w:rPr>
          <w:rFonts w:hint="eastAsia"/>
        </w:rPr>
        <w:t>规定性设计</w:t>
      </w:r>
      <w:bookmarkEnd w:id="27"/>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8" w:name="_Toc16494771"/>
      <w:r>
        <w:rPr>
          <w:rFonts w:hint="eastAsia"/>
        </w:rPr>
        <w:t>评价性设计</w:t>
      </w:r>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16494772"/>
      <w:r>
        <w:rPr>
          <w:rFonts w:hint="eastAsia"/>
        </w:rPr>
        <w:t>计算参数</w:t>
      </w:r>
      <w:bookmarkEnd w:id="29"/>
    </w:p>
    <w:p>
      <w:pPr>
        <w:pStyle w:val="4"/>
      </w:pPr>
      <w:bookmarkStart w:id="30" w:name="_Toc16494773"/>
      <w:r>
        <w:rPr>
          <w:rFonts w:hint="eastAsia"/>
        </w:rPr>
        <w:t>典型气象日气象参数</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24.5</w:t>
            </w:r>
          </w:p>
        </w:tc>
        <w:tc>
          <w:tcPr>
            <w:tcW w:w="1341" w:type="dxa"/>
            <w:vAlign w:val="center"/>
          </w:tcPr>
          <w:p>
            <w:pPr>
              <w:jc w:val="center"/>
            </w:pPr>
            <w:r>
              <w:t>80</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1.6</w:t>
            </w:r>
          </w:p>
        </w:tc>
        <w:tc>
          <w:tcPr>
            <w:tcW w:w="1341" w:type="dxa"/>
            <w:vMerge w:val="restart"/>
            <w:vAlign w:val="center"/>
          </w:tcPr>
          <w:p>
            <w:pPr>
              <w:jc w:val="center"/>
            </w:pPr>
            <w:r>
              <w:t>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24.1</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23.6</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23.2</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22.8</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22.6</w:t>
            </w:r>
          </w:p>
        </w:tc>
        <w:tc>
          <w:tcPr>
            <w:tcW w:w="1341" w:type="dxa"/>
            <w:vAlign w:val="center"/>
          </w:tcPr>
          <w:p>
            <w:pPr>
              <w:jc w:val="center"/>
            </w:pPr>
            <w:r>
              <w:t>86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22.9</w:t>
            </w:r>
          </w:p>
        </w:tc>
        <w:tc>
          <w:tcPr>
            <w:tcW w:w="1341" w:type="dxa"/>
            <w:vAlign w:val="center"/>
          </w:tcPr>
          <w:p>
            <w:pPr>
              <w:jc w:val="center"/>
            </w:pPr>
            <w:r>
              <w:t>85</w:t>
            </w:r>
          </w:p>
        </w:tc>
        <w:tc>
          <w:tcPr>
            <w:tcW w:w="1341" w:type="dxa"/>
            <w:vAlign w:val="center"/>
          </w:tcPr>
          <w:p>
            <w:pPr>
              <w:jc w:val="center"/>
            </w:pPr>
            <w:r>
              <w:t>31.86</w:t>
            </w:r>
          </w:p>
        </w:tc>
        <w:tc>
          <w:tcPr>
            <w:tcW w:w="1341" w:type="dxa"/>
            <w:vAlign w:val="center"/>
          </w:tcPr>
          <w:p>
            <w:pPr>
              <w:jc w:val="center"/>
            </w:pPr>
            <w:r>
              <w:t>28.32</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23.5</w:t>
            </w:r>
          </w:p>
        </w:tc>
        <w:tc>
          <w:tcPr>
            <w:tcW w:w="1341" w:type="dxa"/>
            <w:vAlign w:val="center"/>
          </w:tcPr>
          <w:p>
            <w:pPr>
              <w:jc w:val="center"/>
            </w:pPr>
            <w:r>
              <w:t>82</w:t>
            </w:r>
          </w:p>
        </w:tc>
        <w:tc>
          <w:tcPr>
            <w:tcW w:w="1341" w:type="dxa"/>
            <w:vAlign w:val="center"/>
          </w:tcPr>
          <w:p>
            <w:pPr>
              <w:jc w:val="center"/>
            </w:pPr>
            <w:r>
              <w:t>123.90</w:t>
            </w:r>
          </w:p>
        </w:tc>
        <w:tc>
          <w:tcPr>
            <w:tcW w:w="1341" w:type="dxa"/>
            <w:vAlign w:val="center"/>
          </w:tcPr>
          <w:p>
            <w:pPr>
              <w:jc w:val="center"/>
            </w:pPr>
            <w:r>
              <w:t>97.94</w:t>
            </w:r>
          </w:p>
        </w:tc>
        <w:tc>
          <w:tcPr>
            <w:tcW w:w="1341" w:type="dxa"/>
            <w:vAlign w:val="center"/>
          </w:tcPr>
          <w:p>
            <w:pPr>
              <w:jc w:val="center"/>
            </w:pPr>
            <w:r>
              <w:t>1.6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24.4</w:t>
            </w:r>
          </w:p>
        </w:tc>
        <w:tc>
          <w:tcPr>
            <w:tcW w:w="1341" w:type="dxa"/>
            <w:vAlign w:val="center"/>
          </w:tcPr>
          <w:p>
            <w:pPr>
              <w:jc w:val="center"/>
            </w:pPr>
            <w:r>
              <w:t>78</w:t>
            </w:r>
          </w:p>
        </w:tc>
        <w:tc>
          <w:tcPr>
            <w:tcW w:w="1341" w:type="dxa"/>
            <w:vAlign w:val="center"/>
          </w:tcPr>
          <w:p>
            <w:pPr>
              <w:jc w:val="center"/>
            </w:pPr>
            <w:r>
              <w:t>230.10</w:t>
            </w:r>
          </w:p>
        </w:tc>
        <w:tc>
          <w:tcPr>
            <w:tcW w:w="1341" w:type="dxa"/>
            <w:vAlign w:val="center"/>
          </w:tcPr>
          <w:p>
            <w:pPr>
              <w:jc w:val="center"/>
            </w:pPr>
            <w:r>
              <w:t>178.18</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25.4</w:t>
            </w:r>
          </w:p>
        </w:tc>
        <w:tc>
          <w:tcPr>
            <w:tcW w:w="1341" w:type="dxa"/>
            <w:vAlign w:val="center"/>
          </w:tcPr>
          <w:p>
            <w:pPr>
              <w:jc w:val="center"/>
            </w:pPr>
            <w:r>
              <w:t>74</w:t>
            </w:r>
          </w:p>
        </w:tc>
        <w:tc>
          <w:tcPr>
            <w:tcW w:w="1341" w:type="dxa"/>
            <w:vAlign w:val="center"/>
          </w:tcPr>
          <w:p>
            <w:pPr>
              <w:jc w:val="center"/>
            </w:pPr>
            <w:r>
              <w:t>359.90</w:t>
            </w:r>
          </w:p>
        </w:tc>
        <w:tc>
          <w:tcPr>
            <w:tcW w:w="1341" w:type="dxa"/>
            <w:vAlign w:val="center"/>
          </w:tcPr>
          <w:p>
            <w:pPr>
              <w:jc w:val="center"/>
            </w:pPr>
            <w:r>
              <w:t>260.78</w:t>
            </w:r>
          </w:p>
        </w:tc>
        <w:tc>
          <w:tcPr>
            <w:tcW w:w="1341" w:type="dxa"/>
            <w:vAlign w:val="center"/>
          </w:tcPr>
          <w:p>
            <w:pPr>
              <w:jc w:val="center"/>
            </w:pPr>
            <w:r>
              <w:t>1.9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26.4</w:t>
            </w:r>
          </w:p>
        </w:tc>
        <w:tc>
          <w:tcPr>
            <w:tcW w:w="1341" w:type="dxa"/>
            <w:vAlign w:val="center"/>
          </w:tcPr>
          <w:p>
            <w:pPr>
              <w:jc w:val="center"/>
            </w:pPr>
            <w:r>
              <w:t>70</w:t>
            </w:r>
          </w:p>
        </w:tc>
        <w:tc>
          <w:tcPr>
            <w:tcW w:w="1341" w:type="dxa"/>
            <w:vAlign w:val="center"/>
          </w:tcPr>
          <w:p>
            <w:pPr>
              <w:jc w:val="center"/>
            </w:pPr>
            <w:r>
              <w:t>472.00</w:t>
            </w:r>
          </w:p>
        </w:tc>
        <w:tc>
          <w:tcPr>
            <w:tcW w:w="1341" w:type="dxa"/>
            <w:vAlign w:val="center"/>
          </w:tcPr>
          <w:p>
            <w:pPr>
              <w:jc w:val="center"/>
            </w:pPr>
            <w:r>
              <w:t>322.14</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27.3</w:t>
            </w:r>
          </w:p>
        </w:tc>
        <w:tc>
          <w:tcPr>
            <w:tcW w:w="1341" w:type="dxa"/>
            <w:vAlign w:val="center"/>
          </w:tcPr>
          <w:p>
            <w:pPr>
              <w:jc w:val="center"/>
            </w:pPr>
            <w:r>
              <w:t>67</w:t>
            </w:r>
          </w:p>
        </w:tc>
        <w:tc>
          <w:tcPr>
            <w:tcW w:w="1341" w:type="dxa"/>
            <w:vAlign w:val="center"/>
          </w:tcPr>
          <w:p>
            <w:pPr>
              <w:jc w:val="center"/>
            </w:pPr>
            <w:r>
              <w:t>553.42</w:t>
            </w:r>
          </w:p>
        </w:tc>
        <w:tc>
          <w:tcPr>
            <w:tcW w:w="1341" w:type="dxa"/>
            <w:vAlign w:val="center"/>
          </w:tcPr>
          <w:p>
            <w:pPr>
              <w:jc w:val="center"/>
            </w:pPr>
            <w:r>
              <w:t>378.78</w:t>
            </w:r>
          </w:p>
        </w:tc>
        <w:tc>
          <w:tcPr>
            <w:tcW w:w="1341" w:type="dxa"/>
            <w:vAlign w:val="center"/>
          </w:tcPr>
          <w:p>
            <w:pPr>
              <w:jc w:val="center"/>
            </w:pPr>
            <w:r>
              <w:t>2.1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28.2</w:t>
            </w:r>
          </w:p>
        </w:tc>
        <w:tc>
          <w:tcPr>
            <w:tcW w:w="1341" w:type="dxa"/>
            <w:vAlign w:val="center"/>
          </w:tcPr>
          <w:p>
            <w:pPr>
              <w:jc w:val="center"/>
            </w:pPr>
            <w:r>
              <w:t>63</w:t>
            </w:r>
          </w:p>
        </w:tc>
        <w:tc>
          <w:tcPr>
            <w:tcW w:w="1341" w:type="dxa"/>
            <w:vAlign w:val="center"/>
          </w:tcPr>
          <w:p>
            <w:pPr>
              <w:jc w:val="center"/>
            </w:pPr>
            <w:r>
              <w:t>607.70</w:t>
            </w:r>
          </w:p>
        </w:tc>
        <w:tc>
          <w:tcPr>
            <w:tcW w:w="1341" w:type="dxa"/>
            <w:vAlign w:val="center"/>
          </w:tcPr>
          <w:p>
            <w:pPr>
              <w:jc w:val="center"/>
            </w:pPr>
            <w:r>
              <w:t>403.56</w:t>
            </w:r>
          </w:p>
        </w:tc>
        <w:tc>
          <w:tcPr>
            <w:tcW w:w="1341" w:type="dxa"/>
            <w:vAlign w:val="center"/>
          </w:tcPr>
          <w:p>
            <w:pPr>
              <w:jc w:val="center"/>
            </w:pPr>
            <w:r>
              <w:t>2.3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28.9</w:t>
            </w:r>
          </w:p>
        </w:tc>
        <w:tc>
          <w:tcPr>
            <w:tcW w:w="1341" w:type="dxa"/>
            <w:vAlign w:val="center"/>
          </w:tcPr>
          <w:p>
            <w:pPr>
              <w:jc w:val="center"/>
            </w:pPr>
            <w:r>
              <w:t>61</w:t>
            </w:r>
          </w:p>
        </w:tc>
        <w:tc>
          <w:tcPr>
            <w:tcW w:w="1341" w:type="dxa"/>
            <w:vAlign w:val="center"/>
          </w:tcPr>
          <w:p>
            <w:pPr>
              <w:jc w:val="center"/>
            </w:pPr>
            <w:r>
              <w:t>607.70</w:t>
            </w:r>
          </w:p>
        </w:tc>
        <w:tc>
          <w:tcPr>
            <w:tcW w:w="1341" w:type="dxa"/>
            <w:vAlign w:val="center"/>
          </w:tcPr>
          <w:p>
            <w:pPr>
              <w:jc w:val="center"/>
            </w:pPr>
            <w:r>
              <w:t>400.02</w:t>
            </w:r>
          </w:p>
        </w:tc>
        <w:tc>
          <w:tcPr>
            <w:tcW w:w="1341" w:type="dxa"/>
            <w:vAlign w:val="center"/>
          </w:tcPr>
          <w:p>
            <w:pPr>
              <w:jc w:val="center"/>
            </w:pPr>
            <w:r>
              <w:t>2.6</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29.4</w:t>
            </w:r>
          </w:p>
        </w:tc>
        <w:tc>
          <w:tcPr>
            <w:tcW w:w="1341" w:type="dxa"/>
            <w:vAlign w:val="center"/>
          </w:tcPr>
          <w:p>
            <w:pPr>
              <w:jc w:val="center"/>
            </w:pPr>
            <w:r>
              <w:t>59</w:t>
            </w:r>
          </w:p>
        </w:tc>
        <w:tc>
          <w:tcPr>
            <w:tcW w:w="1341" w:type="dxa"/>
            <w:vAlign w:val="center"/>
          </w:tcPr>
          <w:p>
            <w:pPr>
              <w:jc w:val="center"/>
            </w:pPr>
            <w:r>
              <w:t>569.94</w:t>
            </w:r>
          </w:p>
        </w:tc>
        <w:tc>
          <w:tcPr>
            <w:tcW w:w="1341" w:type="dxa"/>
            <w:vAlign w:val="center"/>
          </w:tcPr>
          <w:p>
            <w:pPr>
              <w:jc w:val="center"/>
            </w:pPr>
            <w:r>
              <w:t>384.68</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29.7</w:t>
            </w:r>
          </w:p>
        </w:tc>
        <w:tc>
          <w:tcPr>
            <w:tcW w:w="1341" w:type="dxa"/>
            <w:vAlign w:val="center"/>
          </w:tcPr>
          <w:p>
            <w:pPr>
              <w:jc w:val="center"/>
            </w:pPr>
            <w:r>
              <w:t>58</w:t>
            </w:r>
          </w:p>
        </w:tc>
        <w:tc>
          <w:tcPr>
            <w:tcW w:w="1341" w:type="dxa"/>
            <w:vAlign w:val="center"/>
          </w:tcPr>
          <w:p>
            <w:pPr>
              <w:jc w:val="center"/>
            </w:pPr>
            <w:r>
              <w:t>495.60</w:t>
            </w:r>
          </w:p>
        </w:tc>
        <w:tc>
          <w:tcPr>
            <w:tcW w:w="1341" w:type="dxa"/>
            <w:vAlign w:val="center"/>
          </w:tcPr>
          <w:p>
            <w:pPr>
              <w:jc w:val="center"/>
            </w:pPr>
            <w:r>
              <w:t>330.40</w:t>
            </w:r>
          </w:p>
        </w:tc>
        <w:tc>
          <w:tcPr>
            <w:tcW w:w="1341" w:type="dxa"/>
            <w:vAlign w:val="center"/>
          </w:tcPr>
          <w:p>
            <w:pPr>
              <w:jc w:val="center"/>
            </w:pPr>
            <w:r>
              <w:t>2.8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29.6</w:t>
            </w:r>
          </w:p>
        </w:tc>
        <w:tc>
          <w:tcPr>
            <w:tcW w:w="1341" w:type="dxa"/>
            <w:vAlign w:val="center"/>
          </w:tcPr>
          <w:p>
            <w:pPr>
              <w:jc w:val="center"/>
            </w:pPr>
            <w:r>
              <w:t>58</w:t>
            </w:r>
          </w:p>
        </w:tc>
        <w:tc>
          <w:tcPr>
            <w:tcW w:w="1341" w:type="dxa"/>
            <w:vAlign w:val="center"/>
          </w:tcPr>
          <w:p>
            <w:pPr>
              <w:jc w:val="center"/>
            </w:pPr>
            <w:r>
              <w:t>382.32</w:t>
            </w:r>
          </w:p>
        </w:tc>
        <w:tc>
          <w:tcPr>
            <w:tcW w:w="1341" w:type="dxa"/>
            <w:vAlign w:val="center"/>
          </w:tcPr>
          <w:p>
            <w:pPr>
              <w:jc w:val="center"/>
            </w:pPr>
            <w:r>
              <w:t>256.06</w:t>
            </w:r>
          </w:p>
        </w:tc>
        <w:tc>
          <w:tcPr>
            <w:tcW w:w="1341" w:type="dxa"/>
            <w:vAlign w:val="center"/>
          </w:tcPr>
          <w:p>
            <w:pPr>
              <w:jc w:val="center"/>
            </w:pPr>
            <w:r>
              <w:t>2.9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29.3</w:t>
            </w:r>
          </w:p>
        </w:tc>
        <w:tc>
          <w:tcPr>
            <w:tcW w:w="1341" w:type="dxa"/>
            <w:vAlign w:val="center"/>
          </w:tcPr>
          <w:p>
            <w:pPr>
              <w:jc w:val="center"/>
            </w:pPr>
            <w:r>
              <w:t>60</w:t>
            </w:r>
          </w:p>
        </w:tc>
        <w:tc>
          <w:tcPr>
            <w:tcW w:w="1341" w:type="dxa"/>
            <w:vAlign w:val="center"/>
          </w:tcPr>
          <w:p>
            <w:pPr>
              <w:jc w:val="center"/>
            </w:pPr>
            <w:r>
              <w:t>253.70</w:t>
            </w:r>
          </w:p>
        </w:tc>
        <w:tc>
          <w:tcPr>
            <w:tcW w:w="1341" w:type="dxa"/>
            <w:vAlign w:val="center"/>
          </w:tcPr>
          <w:p>
            <w:pPr>
              <w:jc w:val="center"/>
            </w:pPr>
            <w:r>
              <w:t>177.00</w:t>
            </w:r>
          </w:p>
        </w:tc>
        <w:tc>
          <w:tcPr>
            <w:tcW w:w="1341" w:type="dxa"/>
            <w:vAlign w:val="center"/>
          </w:tcPr>
          <w:p>
            <w:pPr>
              <w:jc w:val="center"/>
            </w:pPr>
            <w:r>
              <w:t>2.9</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28.8</w:t>
            </w:r>
          </w:p>
        </w:tc>
        <w:tc>
          <w:tcPr>
            <w:tcW w:w="1341" w:type="dxa"/>
            <w:vAlign w:val="center"/>
          </w:tcPr>
          <w:p>
            <w:pPr>
              <w:jc w:val="center"/>
            </w:pPr>
            <w:r>
              <w:t>62</w:t>
            </w:r>
          </w:p>
        </w:tc>
        <w:tc>
          <w:tcPr>
            <w:tcW w:w="1341" w:type="dxa"/>
            <w:vAlign w:val="center"/>
          </w:tcPr>
          <w:p>
            <w:pPr>
              <w:jc w:val="center"/>
            </w:pPr>
            <w:r>
              <w:t>129.80</w:t>
            </w:r>
          </w:p>
        </w:tc>
        <w:tc>
          <w:tcPr>
            <w:tcW w:w="1341" w:type="dxa"/>
            <w:vAlign w:val="center"/>
          </w:tcPr>
          <w:p>
            <w:pPr>
              <w:jc w:val="center"/>
            </w:pPr>
            <w:r>
              <w:t>94.40</w:t>
            </w:r>
          </w:p>
        </w:tc>
        <w:tc>
          <w:tcPr>
            <w:tcW w:w="1341" w:type="dxa"/>
            <w:vAlign w:val="center"/>
          </w:tcPr>
          <w:p>
            <w:pPr>
              <w:jc w:val="center"/>
            </w:pPr>
            <w:r>
              <w:t>2.7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28.0</w:t>
            </w:r>
          </w:p>
        </w:tc>
        <w:tc>
          <w:tcPr>
            <w:tcW w:w="1341" w:type="dxa"/>
            <w:vAlign w:val="center"/>
          </w:tcPr>
          <w:p>
            <w:pPr>
              <w:jc w:val="center"/>
            </w:pPr>
            <w:r>
              <w:t>65</w:t>
            </w:r>
          </w:p>
        </w:tc>
        <w:tc>
          <w:tcPr>
            <w:tcW w:w="1341" w:type="dxa"/>
            <w:vAlign w:val="center"/>
          </w:tcPr>
          <w:p>
            <w:pPr>
              <w:jc w:val="center"/>
            </w:pPr>
            <w:r>
              <w:t>18.88</w:t>
            </w:r>
          </w:p>
        </w:tc>
        <w:tc>
          <w:tcPr>
            <w:tcW w:w="1341" w:type="dxa"/>
            <w:vAlign w:val="center"/>
          </w:tcPr>
          <w:p>
            <w:pPr>
              <w:jc w:val="center"/>
            </w:pPr>
            <w:r>
              <w:t>16.52</w:t>
            </w:r>
          </w:p>
        </w:tc>
        <w:tc>
          <w:tcPr>
            <w:tcW w:w="1341" w:type="dxa"/>
            <w:vAlign w:val="center"/>
          </w:tcPr>
          <w:p>
            <w:pPr>
              <w:jc w:val="center"/>
            </w:pPr>
            <w:r>
              <w:t>2.4</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27.2</w:t>
            </w:r>
          </w:p>
        </w:tc>
        <w:tc>
          <w:tcPr>
            <w:tcW w:w="1341" w:type="dxa"/>
            <w:vAlign w:val="center"/>
          </w:tcPr>
          <w:p>
            <w:pPr>
              <w:jc w:val="center"/>
            </w:pPr>
            <w:r>
              <w:t>69</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2.1</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26.3</w:t>
            </w:r>
          </w:p>
        </w:tc>
        <w:tc>
          <w:tcPr>
            <w:tcW w:w="1341" w:type="dxa"/>
            <w:vAlign w:val="center"/>
          </w:tcPr>
          <w:p>
            <w:pPr>
              <w:jc w:val="center"/>
            </w:pPr>
            <w:r>
              <w:t>73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25.6</w:t>
            </w:r>
          </w:p>
        </w:tc>
        <w:tc>
          <w:tcPr>
            <w:tcW w:w="1341" w:type="dxa"/>
            <w:vAlign w:val="center"/>
          </w:tcPr>
          <w:p>
            <w:pPr>
              <w:jc w:val="center"/>
            </w:pPr>
            <w:r>
              <w:t>76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25.0</w:t>
            </w:r>
          </w:p>
        </w:tc>
        <w:tc>
          <w:tcPr>
            <w:tcW w:w="1341" w:type="dxa"/>
            <w:vAlign w:val="center"/>
          </w:tcPr>
          <w:p>
            <w:pPr>
              <w:jc w:val="center"/>
            </w:pPr>
            <w:r>
              <w:t>78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26.1</w:t>
            </w:r>
          </w:p>
        </w:tc>
        <w:tc>
          <w:tcPr>
            <w:tcW w:w="1341" w:type="dxa"/>
            <w:vAlign w:val="center"/>
          </w:tcPr>
          <w:p>
            <w:pPr>
              <w:jc w:val="center"/>
            </w:pPr>
            <w:r>
              <w:t>72</w:t>
            </w:r>
          </w:p>
        </w:tc>
        <w:tc>
          <w:tcPr>
            <w:tcW w:w="1341" w:type="dxa"/>
            <w:vAlign w:val="center"/>
          </w:tcPr>
          <w:p>
            <w:pPr>
              <w:jc w:val="center"/>
            </w:pPr>
            <w:r>
              <w:t>201.53</w:t>
            </w:r>
          </w:p>
        </w:tc>
        <w:tc>
          <w:tcPr>
            <w:tcW w:w="1341" w:type="dxa"/>
            <w:vAlign w:val="center"/>
          </w:tcPr>
          <w:p>
            <w:pPr>
              <w:jc w:val="center"/>
            </w:pPr>
            <w:r>
              <w:t>138.70</w:t>
            </w:r>
          </w:p>
        </w:tc>
        <w:tc>
          <w:tcPr>
            <w:tcW w:w="1341" w:type="dxa"/>
            <w:vAlign w:val="center"/>
          </w:tcPr>
          <w:p>
            <w:pPr>
              <w:jc w:val="center"/>
            </w:pPr>
            <w:r>
              <w:t>2.0</w:t>
            </w:r>
          </w:p>
        </w:tc>
        <w:tc>
          <w:tcPr>
            <w:tcW w:w="1341" w:type="dxa"/>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16494774"/>
      <w:r>
        <w:rPr>
          <w:rFonts w:hint="eastAsia"/>
        </w:rPr>
        <w:t>渗透面夏季逐时蒸发量</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3" w:name="蒸发量参数"/>
      <w:bookmarkEnd w:id="33"/>
    </w:p>
    <w:p>
      <w:pPr>
        <w:pStyle w:val="2"/>
      </w:pPr>
      <w:bookmarkStart w:id="34" w:name="_Toc16494775"/>
      <w:r>
        <w:rPr>
          <w:rFonts w:hint="eastAsia"/>
        </w:rPr>
        <w:t>住区指标概览</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81090.36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58518.88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1791.31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6282.29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15168.76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5072.30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6365.63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24.25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10593.65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0.98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10.29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bookmarkStart w:id="35" w:name="住区指标概览"/>
      <w:bookmarkEnd w:id="35"/>
    </w:p>
    <w:p>
      <w:pPr>
        <w:pStyle w:val="2"/>
      </w:pPr>
      <w:bookmarkStart w:id="36" w:name="_Toc16494776"/>
      <w:r>
        <w:rPr>
          <w:rFonts w:hint="eastAsia"/>
        </w:rPr>
        <w:t>规定性设计指标</w:t>
      </w:r>
      <w:bookmarkEnd w:id="36"/>
    </w:p>
    <w:p>
      <w:pPr>
        <w:pStyle w:val="4"/>
      </w:pPr>
      <w:bookmarkStart w:id="37" w:name="_Toc16494777"/>
      <w:r>
        <w:rPr>
          <w:rFonts w:hint="eastAsia"/>
        </w:rPr>
        <w:t>平均迎风面积比</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12</w:t>
            </w:r>
          </w:p>
        </w:tc>
        <w:tc>
          <w:tcPr>
            <w:tcW w:w="1866" w:type="dxa"/>
            <w:vAlign w:val="center"/>
          </w:tcPr>
          <w:p>
            <w:r>
              <w:t>1125.16</w:t>
            </w:r>
          </w:p>
        </w:tc>
        <w:tc>
          <w:tcPr>
            <w:tcW w:w="1866" w:type="dxa"/>
            <w:vAlign w:val="center"/>
          </w:tcPr>
          <w:p>
            <w:r>
              <w:t>1135.61</w:t>
            </w:r>
          </w:p>
        </w:tc>
        <w:tc>
          <w:tcPr>
            <w:tcW w:w="1866" w:type="dxa"/>
            <w:vAlign w:val="center"/>
          </w:tcPr>
          <w:p>
            <w:r>
              <w:t>80.00</w:t>
            </w:r>
          </w:p>
        </w:tc>
        <w:tc>
          <w:tcPr>
            <w:tcW w:w="1866" w:type="dxa"/>
            <w:vAlign w:val="center"/>
          </w:tcPr>
          <w:p>
            <w:r>
              <w:t>0.9908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13</w:t>
            </w:r>
          </w:p>
        </w:tc>
        <w:tc>
          <w:tcPr>
            <w:tcW w:w="1866" w:type="dxa"/>
            <w:vAlign w:val="center"/>
          </w:tcPr>
          <w:p>
            <w:r>
              <w:t>1114.86</w:t>
            </w:r>
          </w:p>
        </w:tc>
        <w:tc>
          <w:tcPr>
            <w:tcW w:w="1866" w:type="dxa"/>
            <w:vAlign w:val="center"/>
          </w:tcPr>
          <w:p>
            <w:r>
              <w:t>1148.36</w:t>
            </w:r>
          </w:p>
        </w:tc>
        <w:tc>
          <w:tcPr>
            <w:tcW w:w="1866" w:type="dxa"/>
            <w:vAlign w:val="center"/>
          </w:tcPr>
          <w:p>
            <w:r>
              <w:t>110.00</w:t>
            </w:r>
          </w:p>
        </w:tc>
        <w:tc>
          <w:tcPr>
            <w:tcW w:w="1866" w:type="dxa"/>
            <w:vAlign w:val="center"/>
          </w:tcPr>
          <w:p>
            <w:r>
              <w:t>0.9708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color w:val="FF0000"/>
              </w:rPr>
              <w:t>0.981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color w:val="FF0000"/>
              </w:rPr>
              <w:t>不满足</w:t>
            </w:r>
          </w:p>
        </w:tc>
      </w:tr>
    </w:tbl>
    <w:p>
      <w:pPr>
        <w:pStyle w:val="3"/>
        <w:ind w:firstLine="420"/>
        <w:rPr>
          <w:lang w:val="en-US"/>
        </w:rPr>
      </w:pPr>
      <w:bookmarkStart w:id="38" w:name="平均迎风面积比"/>
      <w:bookmarkEnd w:id="38"/>
    </w:p>
    <w:p>
      <w:pPr>
        <w:pStyle w:val="4"/>
      </w:pPr>
      <w:bookmarkStart w:id="39" w:name="_Toc16494778"/>
      <w:r>
        <w:rPr>
          <w:rFonts w:hint="eastAsia"/>
        </w:rPr>
        <w:t>活动场地遮阳覆盖率</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r>
              <w:t>289.8</w:t>
            </w:r>
          </w:p>
        </w:tc>
        <w:tc>
          <w:tcPr>
            <w:tcW w:w="1866" w:type="dxa"/>
            <w:vAlign w:val="center"/>
          </w:tcPr>
          <w:p>
            <w:r>
              <w:t>1791.3</w:t>
            </w:r>
          </w:p>
        </w:tc>
        <w:tc>
          <w:tcPr>
            <w:tcW w:w="1866" w:type="dxa"/>
            <w:vAlign w:val="center"/>
          </w:tcPr>
          <w:p>
            <w:r>
              <w:t>16</w:t>
            </w:r>
          </w:p>
        </w:tc>
        <w:tc>
          <w:tcPr>
            <w:tcW w:w="1866"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r>
              <w:t>321.5</w:t>
            </w:r>
          </w:p>
        </w:tc>
        <w:tc>
          <w:tcPr>
            <w:tcW w:w="1866" w:type="dxa"/>
            <w:vAlign w:val="center"/>
          </w:tcPr>
          <w:p>
            <w:r>
              <w:t>2024.0</w:t>
            </w:r>
          </w:p>
        </w:tc>
        <w:tc>
          <w:tcPr>
            <w:tcW w:w="1866" w:type="dxa"/>
            <w:vAlign w:val="center"/>
          </w:tcPr>
          <w:p>
            <w:r>
              <w:t>16</w:t>
            </w:r>
          </w:p>
        </w:tc>
        <w:tc>
          <w:tcPr>
            <w:tcW w:w="1866" w:type="dxa"/>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人行道</w:t>
            </w:r>
          </w:p>
        </w:tc>
        <w:tc>
          <w:tcPr>
            <w:tcW w:w="1866" w:type="dxa"/>
            <w:vAlign w:val="center"/>
          </w:tcPr>
          <w:p>
            <w:r>
              <w:t>2065.9</w:t>
            </w:r>
          </w:p>
        </w:tc>
        <w:tc>
          <w:tcPr>
            <w:tcW w:w="1866" w:type="dxa"/>
            <w:vAlign w:val="center"/>
          </w:tcPr>
          <w:p>
            <w:r>
              <w:t>6282.3</w:t>
            </w:r>
          </w:p>
        </w:tc>
        <w:tc>
          <w:tcPr>
            <w:tcW w:w="1866" w:type="dxa"/>
            <w:vAlign w:val="center"/>
          </w:tcPr>
          <w:p>
            <w:r>
              <w:t>33</w:t>
            </w:r>
          </w:p>
        </w:tc>
        <w:tc>
          <w:tcPr>
            <w:tcW w:w="1866"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停车场</w:t>
            </w:r>
          </w:p>
        </w:tc>
        <w:tc>
          <w:tcPr>
            <w:tcW w:w="1866" w:type="dxa"/>
            <w:vAlign w:val="center"/>
          </w:tcPr>
          <w:p>
            <w:r>
              <w:t>79.8</w:t>
            </w:r>
          </w:p>
        </w:tc>
        <w:tc>
          <w:tcPr>
            <w:tcW w:w="1866" w:type="dxa"/>
            <w:vAlign w:val="center"/>
          </w:tcPr>
          <w:p>
            <w:r>
              <w:t>496.1</w:t>
            </w:r>
          </w:p>
        </w:tc>
        <w:tc>
          <w:tcPr>
            <w:tcW w:w="1866" w:type="dxa"/>
            <w:vAlign w:val="center"/>
          </w:tcPr>
          <w:p>
            <w:r>
              <w:t>16</w:t>
            </w:r>
          </w:p>
        </w:tc>
        <w:tc>
          <w:tcPr>
            <w:tcW w:w="1866" w:type="dxa"/>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0" w:name="活动场地遮阳覆盖率"/>
      <w:bookmarkEnd w:id="40"/>
    </w:p>
    <w:p>
      <w:pPr>
        <w:pStyle w:val="4"/>
      </w:pPr>
      <w:bookmarkStart w:id="41" w:name="_Toc16494779"/>
      <w:r>
        <w:rPr>
          <w:rFonts w:hint="eastAsia"/>
        </w:rPr>
        <w:t>底层通风架空率</w:t>
      </w:r>
      <w:bookmarkEnd w:id="4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底层架空面积(㎡)</w:t>
            </w:r>
          </w:p>
        </w:tc>
        <w:tc>
          <w:tcPr>
            <w:tcW w:w="1866" w:type="dxa"/>
            <w:shd w:val="clear" w:color="auto" w:fill="E6E6E6"/>
            <w:vAlign w:val="center"/>
          </w:tcPr>
          <w:p>
            <w:pPr>
              <w:jc w:val="center"/>
            </w:pPr>
            <w:r>
              <w:t>基底面积(㎡)</w:t>
            </w:r>
          </w:p>
        </w:tc>
        <w:tc>
          <w:tcPr>
            <w:tcW w:w="1866" w:type="dxa"/>
            <w:shd w:val="clear" w:color="auto" w:fill="E6E6E6"/>
            <w:vAlign w:val="center"/>
          </w:tcPr>
          <w:p>
            <w:pPr>
              <w:jc w:val="center"/>
            </w:pPr>
            <w:r>
              <w:t>迎风面宽度(m)</w:t>
            </w:r>
          </w:p>
        </w:tc>
        <w:tc>
          <w:tcPr>
            <w:tcW w:w="1866" w:type="dxa"/>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tc>
        <w:tc>
          <w:tcPr>
            <w:tcW w:w="1866" w:type="dxa"/>
            <w:vAlign w:val="center"/>
          </w:tcPr>
          <w:p>
            <w:r>
              <w:t>0.0</w:t>
            </w:r>
          </w:p>
        </w:tc>
        <w:tc>
          <w:tcPr>
            <w:tcW w:w="1866" w:type="dxa"/>
            <w:vAlign w:val="center"/>
          </w:tcPr>
          <w:p>
            <w:r>
              <w:t>19040.1</w:t>
            </w:r>
          </w:p>
        </w:tc>
        <w:tc>
          <w:tcPr>
            <w:tcW w:w="1866" w:type="dxa"/>
            <w:vAlign w:val="center"/>
          </w:tcPr>
          <w:p>
            <w:r>
              <w:t>285.1</w:t>
            </w:r>
          </w:p>
        </w:tc>
        <w:tc>
          <w:tcPr>
            <w:tcW w:w="1866" w:type="dxa"/>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12</w:t>
            </w:r>
          </w:p>
        </w:tc>
        <w:tc>
          <w:tcPr>
            <w:tcW w:w="1866" w:type="dxa"/>
            <w:vAlign w:val="center"/>
          </w:tcPr>
          <w:p>
            <w:r>
              <w:t>0.0</w:t>
            </w:r>
          </w:p>
        </w:tc>
        <w:tc>
          <w:tcPr>
            <w:tcW w:w="1866" w:type="dxa"/>
            <w:vAlign w:val="center"/>
          </w:tcPr>
          <w:p>
            <w:r>
              <w:t>1748.2</w:t>
            </w:r>
          </w:p>
        </w:tc>
        <w:tc>
          <w:tcPr>
            <w:tcW w:w="1866" w:type="dxa"/>
            <w:vAlign w:val="center"/>
          </w:tcPr>
          <w:p>
            <w:r>
              <w:t>83.3</w:t>
            </w:r>
          </w:p>
        </w:tc>
        <w:tc>
          <w:tcPr>
            <w:tcW w:w="1866" w:type="dxa"/>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13</w:t>
            </w:r>
          </w:p>
        </w:tc>
        <w:tc>
          <w:tcPr>
            <w:tcW w:w="1866" w:type="dxa"/>
            <w:vAlign w:val="center"/>
          </w:tcPr>
          <w:p>
            <w:r>
              <w:t>0.0</w:t>
            </w:r>
          </w:p>
        </w:tc>
        <w:tc>
          <w:tcPr>
            <w:tcW w:w="1866" w:type="dxa"/>
            <w:vAlign w:val="center"/>
          </w:tcPr>
          <w:p>
            <w:r>
              <w:t>1783.3</w:t>
            </w:r>
          </w:p>
        </w:tc>
        <w:tc>
          <w:tcPr>
            <w:tcW w:w="1866" w:type="dxa"/>
            <w:vAlign w:val="center"/>
          </w:tcPr>
          <w:p>
            <w:r>
              <w:t>82.6</w:t>
            </w:r>
          </w:p>
        </w:tc>
        <w:tc>
          <w:tcPr>
            <w:tcW w:w="1866" w:type="dxa"/>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color w:val="FF0000"/>
              </w:rPr>
              <w:t>不满足</w:t>
            </w:r>
          </w:p>
        </w:tc>
      </w:tr>
    </w:tbl>
    <w:p>
      <w:pPr>
        <w:pStyle w:val="3"/>
        <w:ind w:firstLine="420"/>
        <w:rPr>
          <w:lang w:val="en-US"/>
        </w:rPr>
      </w:pPr>
      <w:bookmarkStart w:id="42" w:name="底层通风架空率"/>
      <w:bookmarkEnd w:id="42"/>
    </w:p>
    <w:p>
      <w:pPr>
        <w:pStyle w:val="4"/>
      </w:pPr>
      <w:bookmarkStart w:id="43" w:name="_Toc16494780"/>
      <w:r>
        <w:rPr>
          <w:rFonts w:hint="eastAsia"/>
        </w:rPr>
        <w:t>绿化遮阳体叶面积指数</w:t>
      </w:r>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3"/>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遮阳体类型</w:t>
            </w:r>
          </w:p>
        </w:tc>
        <w:tc>
          <w:tcPr>
            <w:tcW w:w="3110" w:type="dxa"/>
            <w:shd w:val="clear" w:color="auto" w:fill="E6E6E6"/>
            <w:vAlign w:val="center"/>
          </w:tcPr>
          <w:p>
            <w:pPr>
              <w:jc w:val="center"/>
            </w:pPr>
            <w:r>
              <w:t>叶面积指数</w:t>
            </w:r>
          </w:p>
        </w:tc>
        <w:tc>
          <w:tcPr>
            <w:tcW w:w="3110" w:type="dxa"/>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restart"/>
            <w:shd w:val="clear" w:color="auto" w:fill="E6E6E6"/>
            <w:vAlign w:val="center"/>
          </w:tcPr>
          <w:p>
            <w:r>
              <w:t>乔木</w:t>
            </w:r>
          </w:p>
        </w:tc>
        <w:tc>
          <w:tcPr>
            <w:tcW w:w="3110" w:type="dxa"/>
            <w:vAlign w:val="center"/>
          </w:tcPr>
          <w:p>
            <w:r>
              <w:t>LAI&gt;3</w:t>
            </w:r>
          </w:p>
        </w:tc>
        <w:tc>
          <w:tcPr>
            <w:tcW w:w="3110" w:type="dxa"/>
            <w:vAlign w:val="center"/>
          </w:tcPr>
          <w:p>
            <w:r>
              <w:t>6196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2.0&lt;LAI&lt;=3.0</w:t>
            </w:r>
          </w:p>
        </w:tc>
        <w:tc>
          <w:tcPr>
            <w:tcW w:w="3110" w:type="dxa"/>
            <w:vAlign w:val="center"/>
          </w:tcPr>
          <w:p>
            <w:r>
              <w:t>127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1.0&lt;LAI&lt;=2.0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0.5&lt;LAI&lt;=1.0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LAI&lt;=0.5</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restart"/>
            <w:shd w:val="clear" w:color="auto" w:fill="E6E6E6"/>
            <w:vAlign w:val="center"/>
          </w:tcPr>
          <w:p>
            <w:r>
              <w:t>爬藤棚架</w:t>
            </w:r>
          </w:p>
        </w:tc>
        <w:tc>
          <w:tcPr>
            <w:tcW w:w="3110" w:type="dxa"/>
            <w:vAlign w:val="center"/>
          </w:tcPr>
          <w:p>
            <w:r>
              <w:t>LAI&gt;3</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2.0&lt;LAI&lt;=3.0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1.0&lt;LAI&lt;=2.0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0.5&lt;LAI&lt;=1.0</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vMerge w:val="continue"/>
            <w:shd w:val="clear" w:color="auto" w:fill="E6E6E6"/>
            <w:vAlign w:val="center"/>
          </w:tcPr>
          <w:p/>
        </w:tc>
        <w:tc>
          <w:tcPr>
            <w:tcW w:w="3110" w:type="dxa"/>
            <w:vAlign w:val="center"/>
          </w:tcPr>
          <w:p>
            <w:r>
              <w:t>LAI&lt;=0.5</w:t>
            </w:r>
          </w:p>
        </w:tc>
        <w:tc>
          <w:tcPr>
            <w:tcW w:w="3110" w:type="dxa"/>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依据</w:t>
            </w:r>
          </w:p>
        </w:tc>
        <w:tc>
          <w:tcPr>
            <w:tcW w:w="6220" w:type="dxa"/>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标准要求</w:t>
            </w:r>
          </w:p>
        </w:tc>
        <w:tc>
          <w:tcPr>
            <w:tcW w:w="6220" w:type="dxa"/>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结论</w:t>
            </w:r>
          </w:p>
        </w:tc>
        <w:tc>
          <w:tcPr>
            <w:tcW w:w="6220" w:type="dxa"/>
            <w:gridSpan w:val="2"/>
            <w:vAlign w:val="center"/>
          </w:tcPr>
          <w:p>
            <w:r>
              <w:rPr>
                <w:color w:val="FF0000"/>
              </w:rPr>
              <w:t>不满足</w:t>
            </w:r>
          </w:p>
        </w:tc>
      </w:tr>
    </w:tbl>
    <w:p>
      <w:pPr>
        <w:pStyle w:val="3"/>
        <w:ind w:firstLine="420"/>
        <w:rPr>
          <w:lang w:val="en-US"/>
        </w:rPr>
      </w:pPr>
      <w:bookmarkStart w:id="44" w:name="绿化遮阳体叶面积指数"/>
      <w:bookmarkEnd w:id="44"/>
    </w:p>
    <w:p>
      <w:pPr>
        <w:pStyle w:val="4"/>
      </w:pPr>
      <w:bookmarkStart w:id="45" w:name="_Toc16494781"/>
      <w:r>
        <w:rPr>
          <w:rFonts w:hint="eastAsia"/>
        </w:rPr>
        <w:t>渗透蒸发指标</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地面</w:t>
            </w:r>
          </w:p>
        </w:tc>
        <w:tc>
          <w:tcPr>
            <w:tcW w:w="1866" w:type="dxa"/>
            <w:shd w:val="clear" w:color="auto" w:fill="E6E6E6"/>
            <w:vAlign w:val="center"/>
          </w:tcPr>
          <w:p>
            <w:pPr>
              <w:jc w:val="center"/>
            </w:pPr>
            <w:r>
              <w:t>面积(㎡)</w:t>
            </w:r>
          </w:p>
        </w:tc>
        <w:tc>
          <w:tcPr>
            <w:tcW w:w="1866" w:type="dxa"/>
            <w:shd w:val="clear" w:color="auto" w:fill="E6E6E6"/>
            <w:vAlign w:val="center"/>
          </w:tcPr>
          <w:p>
            <w:pPr>
              <w:jc w:val="center"/>
            </w:pPr>
            <w:r>
              <w:t>面积所占比例</w:t>
            </w:r>
          </w:p>
        </w:tc>
        <w:tc>
          <w:tcPr>
            <w:tcW w:w="1866" w:type="dxa"/>
            <w:shd w:val="clear" w:color="auto" w:fill="E6E6E6"/>
            <w:vAlign w:val="center"/>
          </w:tcPr>
          <w:p>
            <w:pPr>
              <w:jc w:val="center"/>
            </w:pPr>
            <w:r>
              <w:t>地面透水系数k(mm/s)</w:t>
            </w:r>
          </w:p>
        </w:tc>
        <w:tc>
          <w:tcPr>
            <w:tcW w:w="1866" w:type="dxa"/>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r>
              <w:t>1791</w:t>
            </w:r>
          </w:p>
        </w:tc>
        <w:tc>
          <w:tcPr>
            <w:tcW w:w="1866" w:type="dxa"/>
            <w:vAlign w:val="center"/>
          </w:tcPr>
          <w:p>
            <w:r>
              <w:t>0.169</w:t>
            </w:r>
          </w:p>
        </w:tc>
        <w:tc>
          <w:tcPr>
            <w:tcW w:w="1866" w:type="dxa"/>
            <w:vAlign w:val="center"/>
          </w:tcPr>
          <w:p>
            <w:r>
              <w:t>3.50</w:t>
            </w:r>
          </w:p>
        </w:tc>
        <w:tc>
          <w:tcPr>
            <w:tcW w:w="1866" w:type="dxa"/>
            <w:vAlign w:val="center"/>
          </w:tcPr>
          <w:p>
            <w:r>
              <w:t>1.69</w:t>
            </w:r>
          </w:p>
        </w:tc>
      </w:tr>
      <w:tr>
        <w:tblPrEx>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r>
              <w:t>2024</w:t>
            </w:r>
          </w:p>
        </w:tc>
        <w:tc>
          <w:tcPr>
            <w:tcW w:w="1866" w:type="dxa"/>
            <w:vAlign w:val="center"/>
          </w:tcPr>
          <w:p>
            <w:r>
              <w:t>0.191</w:t>
            </w:r>
          </w:p>
        </w:tc>
        <w:tc>
          <w:tcPr>
            <w:tcW w:w="1866" w:type="dxa"/>
            <w:vAlign w:val="center"/>
          </w:tcPr>
          <w:p>
            <w:r>
              <w:t>1.22</w:t>
            </w:r>
          </w:p>
        </w:tc>
        <w:tc>
          <w:tcPr>
            <w:tcW w:w="1866" w:type="dxa"/>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人行道</w:t>
            </w:r>
          </w:p>
        </w:tc>
        <w:tc>
          <w:tcPr>
            <w:tcW w:w="1866" w:type="dxa"/>
            <w:vAlign w:val="center"/>
          </w:tcPr>
          <w:p>
            <w:r>
              <w:t>6282</w:t>
            </w:r>
          </w:p>
        </w:tc>
        <w:tc>
          <w:tcPr>
            <w:tcW w:w="1866" w:type="dxa"/>
            <w:vAlign w:val="center"/>
          </w:tcPr>
          <w:p>
            <w:r>
              <w:t>0.593</w:t>
            </w:r>
          </w:p>
        </w:tc>
        <w:tc>
          <w:tcPr>
            <w:tcW w:w="1866" w:type="dxa"/>
            <w:vAlign w:val="center"/>
          </w:tcPr>
          <w:p>
            <w:r>
              <w:t>3.52</w:t>
            </w:r>
          </w:p>
        </w:tc>
        <w:tc>
          <w:tcPr>
            <w:tcW w:w="1866" w:type="dxa"/>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停车场</w:t>
            </w:r>
          </w:p>
        </w:tc>
        <w:tc>
          <w:tcPr>
            <w:tcW w:w="1866" w:type="dxa"/>
            <w:vAlign w:val="center"/>
          </w:tcPr>
          <w:p>
            <w:r>
              <w:t>496</w:t>
            </w:r>
          </w:p>
        </w:tc>
        <w:tc>
          <w:tcPr>
            <w:tcW w:w="1866" w:type="dxa"/>
            <w:vAlign w:val="center"/>
          </w:tcPr>
          <w:p>
            <w:r>
              <w:t>0.047</w:t>
            </w:r>
          </w:p>
        </w:tc>
        <w:tc>
          <w:tcPr>
            <w:tcW w:w="1866" w:type="dxa"/>
            <w:vAlign w:val="center"/>
          </w:tcPr>
          <w:p>
            <w:r>
              <w:t>3.00</w:t>
            </w:r>
          </w:p>
        </w:tc>
        <w:tc>
          <w:tcPr>
            <w:tcW w:w="1866" w:type="dxa"/>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合计</w:t>
            </w:r>
          </w:p>
        </w:tc>
        <w:tc>
          <w:tcPr>
            <w:tcW w:w="1866" w:type="dxa"/>
            <w:vAlign w:val="center"/>
          </w:tcPr>
          <w:p>
            <w:r>
              <w:t>10594</w:t>
            </w:r>
          </w:p>
        </w:tc>
        <w:tc>
          <w:tcPr>
            <w:tcW w:w="1866" w:type="dxa"/>
            <w:vAlign w:val="center"/>
          </w:tcPr>
          <w:p>
            <w:r>
              <w:t>1.0</w:t>
            </w:r>
          </w:p>
        </w:tc>
        <w:tc>
          <w:tcPr>
            <w:tcW w:w="1866" w:type="dxa"/>
            <w:vAlign w:val="center"/>
          </w:tcPr>
          <w:p>
            <w:r>
              <w:t>3.05</w:t>
            </w:r>
          </w:p>
        </w:tc>
        <w:tc>
          <w:tcPr>
            <w:tcW w:w="1866" w:type="dxa"/>
            <w:vAlign w:val="center"/>
          </w:tcPr>
          <w:p>
            <w:r>
              <w:t>1.69</w:t>
            </w:r>
          </w:p>
        </w:tc>
      </w:tr>
    </w:tbl>
    <w:p>
      <w:pPr>
        <w:pStyle w:val="3"/>
        <w:ind w:firstLine="420"/>
        <w:rPr>
          <w:lang w:val="en-US"/>
        </w:rPr>
      </w:pPr>
      <w:bookmarkStart w:id="46" w:name="渗透蒸发指标"/>
      <w:bookmarkEnd w:id="4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3"/>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地面</w:t>
            </w:r>
          </w:p>
        </w:tc>
        <w:tc>
          <w:tcPr>
            <w:tcW w:w="3110" w:type="dxa"/>
            <w:shd w:val="clear" w:color="auto" w:fill="E6E6E6"/>
            <w:vAlign w:val="center"/>
          </w:tcPr>
          <w:p>
            <w:pPr>
              <w:jc w:val="center"/>
            </w:pPr>
            <w:r>
              <w:t>渗透面积比率(%)</w:t>
            </w:r>
          </w:p>
        </w:tc>
        <w:tc>
          <w:tcPr>
            <w:tcW w:w="3110" w:type="dxa"/>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广场</w:t>
            </w:r>
          </w:p>
        </w:tc>
        <w:tc>
          <w:tcPr>
            <w:tcW w:w="3110" w:type="dxa"/>
            <w:vAlign w:val="center"/>
          </w:tcPr>
          <w:p>
            <w:r>
              <w:t>100</w:t>
            </w:r>
          </w:p>
        </w:tc>
        <w:tc>
          <w:tcPr>
            <w:tcW w:w="311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游憩场</w:t>
            </w:r>
          </w:p>
        </w:tc>
        <w:tc>
          <w:tcPr>
            <w:tcW w:w="3110" w:type="dxa"/>
            <w:vAlign w:val="center"/>
          </w:tcPr>
          <w:p>
            <w:r>
              <w:t>100</w:t>
            </w:r>
          </w:p>
        </w:tc>
        <w:tc>
          <w:tcPr>
            <w:tcW w:w="3110" w:type="dxa"/>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人行道</w:t>
            </w:r>
          </w:p>
        </w:tc>
        <w:tc>
          <w:tcPr>
            <w:tcW w:w="3110" w:type="dxa"/>
            <w:vAlign w:val="center"/>
          </w:tcPr>
          <w:p>
            <w:r>
              <w:t>100</w:t>
            </w:r>
          </w:p>
        </w:tc>
        <w:tc>
          <w:tcPr>
            <w:tcW w:w="3110" w:type="dxa"/>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停车场</w:t>
            </w:r>
          </w:p>
        </w:tc>
        <w:tc>
          <w:tcPr>
            <w:tcW w:w="3110" w:type="dxa"/>
            <w:vAlign w:val="center"/>
          </w:tcPr>
          <w:p>
            <w:r>
              <w:t>100</w:t>
            </w:r>
          </w:p>
        </w:tc>
        <w:tc>
          <w:tcPr>
            <w:tcW w:w="3110" w:type="dxa"/>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32" w:type="dxa"/>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pPr>
              <w:jc w:val="center"/>
            </w:pPr>
            <w:r>
              <w:t>指标</w:t>
            </w:r>
          </w:p>
        </w:tc>
        <w:tc>
          <w:tcPr>
            <w:tcW w:w="3110" w:type="dxa"/>
            <w:shd w:val="clear" w:color="auto" w:fill="E6E6E6"/>
            <w:vAlign w:val="center"/>
          </w:tcPr>
          <w:p>
            <w:pPr>
              <w:jc w:val="center"/>
            </w:pPr>
            <w:r>
              <w:t>值</w:t>
            </w:r>
          </w:p>
        </w:tc>
        <w:tc>
          <w:tcPr>
            <w:tcW w:w="3110" w:type="dxa"/>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地面透水系数k(mm/s)</w:t>
            </w:r>
          </w:p>
        </w:tc>
        <w:tc>
          <w:tcPr>
            <w:tcW w:w="3110" w:type="dxa"/>
            <w:vAlign w:val="center"/>
          </w:tcPr>
          <w:p>
            <w:r>
              <w:t>3.05</w:t>
            </w:r>
          </w:p>
        </w:tc>
        <w:tc>
          <w:tcPr>
            <w:tcW w:w="3110" w:type="dxa"/>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蒸发量m(kg/(㎡·d))</w:t>
            </w:r>
          </w:p>
        </w:tc>
        <w:tc>
          <w:tcPr>
            <w:tcW w:w="3110" w:type="dxa"/>
            <w:vAlign w:val="center"/>
          </w:tcPr>
          <w:p>
            <w:r>
              <w:t>1.69</w:t>
            </w:r>
          </w:p>
        </w:tc>
        <w:tc>
          <w:tcPr>
            <w:tcW w:w="3110" w:type="dxa"/>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依据</w:t>
            </w:r>
          </w:p>
        </w:tc>
        <w:tc>
          <w:tcPr>
            <w:tcW w:w="6220" w:type="dxa"/>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标准要求</w:t>
            </w:r>
          </w:p>
        </w:tc>
        <w:tc>
          <w:tcPr>
            <w:tcW w:w="6220" w:type="dxa"/>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112" w:type="dxa"/>
            <w:shd w:val="clear" w:color="auto" w:fill="E6E6E6"/>
            <w:vAlign w:val="center"/>
          </w:tcPr>
          <w:p>
            <w:r>
              <w:t>结论</w:t>
            </w:r>
          </w:p>
        </w:tc>
        <w:tc>
          <w:tcPr>
            <w:tcW w:w="6220" w:type="dxa"/>
            <w:gridSpan w:val="2"/>
            <w:vAlign w:val="center"/>
          </w:tcPr>
          <w:p>
            <w:r>
              <w:t>满足</w:t>
            </w:r>
          </w:p>
        </w:tc>
      </w:tr>
    </w:tbl>
    <w:p>
      <w:pPr>
        <w:pStyle w:val="3"/>
        <w:ind w:firstLine="420"/>
        <w:rPr>
          <w:lang w:val="en-US"/>
        </w:rPr>
      </w:pPr>
    </w:p>
    <w:p>
      <w:pPr>
        <w:pStyle w:val="4"/>
      </w:pPr>
      <w:bookmarkStart w:id="47" w:name="_Toc16494782"/>
      <w:r>
        <w:rPr>
          <w:rFonts w:hint="eastAsia"/>
        </w:rPr>
        <w:t>屋面绿化率</w:t>
      </w:r>
      <w:bookmarkEnd w:id="4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屋面轮廓面积(㎡)</w:t>
            </w:r>
          </w:p>
        </w:tc>
        <w:tc>
          <w:tcPr>
            <w:tcW w:w="1866" w:type="dxa"/>
            <w:shd w:val="clear" w:color="auto" w:fill="E6E6E6"/>
            <w:vAlign w:val="center"/>
          </w:tcPr>
          <w:p>
            <w:pPr>
              <w:jc w:val="center"/>
            </w:pPr>
            <w:r>
              <w:t>屋顶绿化面积(㎡)</w:t>
            </w:r>
          </w:p>
        </w:tc>
        <w:tc>
          <w:tcPr>
            <w:tcW w:w="1866" w:type="dxa"/>
            <w:shd w:val="clear" w:color="auto" w:fill="E6E6E6"/>
            <w:vAlign w:val="center"/>
          </w:tcPr>
          <w:p>
            <w:pPr>
              <w:jc w:val="center"/>
            </w:pPr>
            <w:r>
              <w:t>可绿化屋面</w:t>
            </w:r>
            <w:r>
              <w:br w:type="textWrapping"/>
            </w:r>
            <w:r>
              <w:t>面积(㎡)</w:t>
            </w:r>
          </w:p>
        </w:tc>
        <w:tc>
          <w:tcPr>
            <w:tcW w:w="1866" w:type="dxa"/>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tc>
        <w:tc>
          <w:tcPr>
            <w:tcW w:w="1866" w:type="dxa"/>
            <w:vAlign w:val="center"/>
          </w:tcPr>
          <w:p>
            <w:r>
              <w:t>19040.1</w:t>
            </w:r>
          </w:p>
        </w:tc>
        <w:tc>
          <w:tcPr>
            <w:tcW w:w="1866" w:type="dxa"/>
            <w:vAlign w:val="center"/>
          </w:tcPr>
          <w:p>
            <w:r>
              <w:t>1897.9</w:t>
            </w:r>
          </w:p>
        </w:tc>
        <w:tc>
          <w:tcPr>
            <w:tcW w:w="1866" w:type="dxa"/>
            <w:vAlign w:val="center"/>
          </w:tcPr>
          <w:p>
            <w:r>
              <w:t>1040.1</w:t>
            </w:r>
          </w:p>
        </w:tc>
        <w:tc>
          <w:tcPr>
            <w:tcW w:w="1866" w:type="dxa"/>
            <w:vAlign w:val="center"/>
          </w:tcPr>
          <w:p>
            <w:r>
              <w:rPr>
                <w:color w:val="FF0000"/>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12</w:t>
            </w:r>
          </w:p>
        </w:tc>
        <w:tc>
          <w:tcPr>
            <w:tcW w:w="1866" w:type="dxa"/>
            <w:vAlign w:val="center"/>
          </w:tcPr>
          <w:p>
            <w:r>
              <w:t>1748.2</w:t>
            </w:r>
          </w:p>
        </w:tc>
        <w:tc>
          <w:tcPr>
            <w:tcW w:w="1866" w:type="dxa"/>
            <w:vAlign w:val="center"/>
          </w:tcPr>
          <w:p>
            <w:r>
              <w:t>1645.5</w:t>
            </w:r>
          </w:p>
        </w:tc>
        <w:tc>
          <w:tcPr>
            <w:tcW w:w="1866" w:type="dxa"/>
            <w:vAlign w:val="center"/>
          </w:tcPr>
          <w:p>
            <w:r>
              <w:t>1748.2</w:t>
            </w:r>
          </w:p>
        </w:tc>
        <w:tc>
          <w:tcPr>
            <w:tcW w:w="1866" w:type="dxa"/>
            <w:vAlign w:val="center"/>
          </w:tcPr>
          <w:p>
            <w:r>
              <w:t>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13</w:t>
            </w:r>
          </w:p>
        </w:tc>
        <w:tc>
          <w:tcPr>
            <w:tcW w:w="1866" w:type="dxa"/>
            <w:vAlign w:val="center"/>
          </w:tcPr>
          <w:p>
            <w:r>
              <w:t>1783.3</w:t>
            </w:r>
          </w:p>
        </w:tc>
        <w:tc>
          <w:tcPr>
            <w:tcW w:w="1866" w:type="dxa"/>
            <w:vAlign w:val="center"/>
          </w:tcPr>
          <w:p>
            <w:r>
              <w:t>1528.9</w:t>
            </w:r>
          </w:p>
        </w:tc>
        <w:tc>
          <w:tcPr>
            <w:tcW w:w="1866" w:type="dxa"/>
            <w:vAlign w:val="center"/>
          </w:tcPr>
          <w:p>
            <w:r>
              <w:t>1783.3</w:t>
            </w:r>
          </w:p>
        </w:tc>
        <w:tc>
          <w:tcPr>
            <w:tcW w:w="1866" w:type="dxa"/>
            <w:vAlign w:val="center"/>
          </w:tcPr>
          <w:p>
            <w:r>
              <w:t>86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合计</w:t>
            </w:r>
          </w:p>
        </w:tc>
        <w:tc>
          <w:tcPr>
            <w:tcW w:w="1866" w:type="dxa"/>
            <w:vAlign w:val="center"/>
          </w:tcPr>
          <w:p>
            <w:r>
              <w:t>22571.5</w:t>
            </w:r>
          </w:p>
        </w:tc>
        <w:tc>
          <w:tcPr>
            <w:tcW w:w="1866" w:type="dxa"/>
            <w:vAlign w:val="center"/>
          </w:tcPr>
          <w:p>
            <w:r>
              <w:t>5072.3</w:t>
            </w:r>
          </w:p>
        </w:tc>
        <w:tc>
          <w:tcPr>
            <w:tcW w:w="1866" w:type="dxa"/>
            <w:vAlign w:val="center"/>
          </w:tcPr>
          <w:p>
            <w:r>
              <w:t>22571.5</w:t>
            </w:r>
          </w:p>
        </w:tc>
        <w:tc>
          <w:tcPr>
            <w:tcW w:w="1866" w:type="dxa"/>
            <w:vAlign w:val="center"/>
          </w:tcPr>
          <w:p>
            <w:r>
              <w:rPr>
                <w:color w:val="FF0000"/>
              </w:rP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color w:val="FF0000"/>
              </w:rPr>
              <w:t>不满足</w:t>
            </w:r>
          </w:p>
        </w:tc>
      </w:tr>
    </w:tbl>
    <w:p>
      <w:pPr>
        <w:pStyle w:val="3"/>
        <w:ind w:firstLine="420"/>
        <w:rPr>
          <w:lang w:val="en-US"/>
        </w:rPr>
      </w:pPr>
      <w:bookmarkStart w:id="48" w:name="屋面绿化率"/>
      <w:bookmarkEnd w:id="48"/>
    </w:p>
    <w:p>
      <w:pPr>
        <w:pStyle w:val="2"/>
      </w:pPr>
      <w:bookmarkStart w:id="49" w:name="_Toc16494783"/>
      <w:r>
        <w:rPr>
          <w:rFonts w:hint="eastAsia"/>
        </w:rPr>
        <w:t>评价性设计</w:t>
      </w:r>
      <w:bookmarkEnd w:id="49"/>
    </w:p>
    <w:p>
      <w:pPr>
        <w:pStyle w:val="4"/>
      </w:pPr>
      <w:bookmarkStart w:id="50" w:name="_Toc16494784"/>
      <w:r>
        <w:rPr>
          <w:rFonts w:hint="eastAsia"/>
        </w:rPr>
        <w:t>平均热岛强度</w:t>
      </w:r>
      <w:bookmarkEnd w:id="5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26.1</w:t>
            </w:r>
          </w:p>
        </w:tc>
        <w:tc>
          <w:tcPr>
            <w:tcW w:w="1166" w:type="dxa"/>
            <w:vAlign w:val="center"/>
          </w:tcPr>
          <w:p>
            <w:r>
              <w:t>1.4</w:t>
            </w:r>
          </w:p>
        </w:tc>
        <w:tc>
          <w:tcPr>
            <w:tcW w:w="1166" w:type="dxa"/>
            <w:vAlign w:val="center"/>
          </w:tcPr>
          <w:p>
            <w:r>
              <w:t>3.7</w:t>
            </w:r>
          </w:p>
        </w:tc>
        <w:tc>
          <w:tcPr>
            <w:tcW w:w="1166" w:type="dxa"/>
            <w:vAlign w:val="center"/>
          </w:tcPr>
          <w:p>
            <w:r>
              <w:t>0.8</w:t>
            </w:r>
          </w:p>
        </w:tc>
        <w:tc>
          <w:tcPr>
            <w:tcW w:w="1166" w:type="dxa"/>
            <w:vAlign w:val="center"/>
          </w:tcPr>
          <w:p>
            <w:r>
              <w:t>23.0</w:t>
            </w:r>
          </w:p>
        </w:tc>
        <w:tc>
          <w:tcPr>
            <w:tcW w:w="1166" w:type="dxa"/>
            <w:vAlign w:val="center"/>
          </w:tcPr>
          <w:p>
            <w:r>
              <w:t>24.4</w:t>
            </w:r>
          </w:p>
        </w:tc>
        <w:tc>
          <w:tcPr>
            <w:tcW w:w="1166" w:type="dxa"/>
            <w:vAlign w:val="center"/>
          </w:tcPr>
          <w:p>
            <w:r>
              <w:t>-1.383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26.1</w:t>
            </w:r>
          </w:p>
        </w:tc>
        <w:tc>
          <w:tcPr>
            <w:tcW w:w="1166" w:type="dxa"/>
            <w:vAlign w:val="center"/>
          </w:tcPr>
          <w:p>
            <w:r>
              <w:t>2.6</w:t>
            </w:r>
          </w:p>
        </w:tc>
        <w:tc>
          <w:tcPr>
            <w:tcW w:w="1166" w:type="dxa"/>
            <w:vAlign w:val="center"/>
          </w:tcPr>
          <w:p>
            <w:r>
              <w:t>3.6</w:t>
            </w:r>
          </w:p>
        </w:tc>
        <w:tc>
          <w:tcPr>
            <w:tcW w:w="1166" w:type="dxa"/>
            <w:vAlign w:val="center"/>
          </w:tcPr>
          <w:p>
            <w:r>
              <w:t>0.9</w:t>
            </w:r>
          </w:p>
        </w:tc>
        <w:tc>
          <w:tcPr>
            <w:tcW w:w="1166" w:type="dxa"/>
            <w:vAlign w:val="center"/>
          </w:tcPr>
          <w:p>
            <w:r>
              <w:t>24.2</w:t>
            </w:r>
          </w:p>
        </w:tc>
        <w:tc>
          <w:tcPr>
            <w:tcW w:w="1166" w:type="dxa"/>
            <w:vAlign w:val="center"/>
          </w:tcPr>
          <w:p>
            <w:r>
              <w:t>25.4</w:t>
            </w:r>
          </w:p>
        </w:tc>
        <w:tc>
          <w:tcPr>
            <w:tcW w:w="1166" w:type="dxa"/>
            <w:vAlign w:val="center"/>
          </w:tcPr>
          <w:p>
            <w:r>
              <w:t>-1.229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26.1</w:t>
            </w:r>
          </w:p>
        </w:tc>
        <w:tc>
          <w:tcPr>
            <w:tcW w:w="1166" w:type="dxa"/>
            <w:vAlign w:val="center"/>
          </w:tcPr>
          <w:p>
            <w:r>
              <w:t>4.1</w:t>
            </w:r>
          </w:p>
        </w:tc>
        <w:tc>
          <w:tcPr>
            <w:tcW w:w="1166" w:type="dxa"/>
            <w:vAlign w:val="center"/>
          </w:tcPr>
          <w:p>
            <w:r>
              <w:t>3.6</w:t>
            </w:r>
          </w:p>
        </w:tc>
        <w:tc>
          <w:tcPr>
            <w:tcW w:w="1166" w:type="dxa"/>
            <w:vAlign w:val="center"/>
          </w:tcPr>
          <w:p>
            <w:r>
              <w:t>0.9</w:t>
            </w:r>
          </w:p>
        </w:tc>
        <w:tc>
          <w:tcPr>
            <w:tcW w:w="1166" w:type="dxa"/>
            <w:vAlign w:val="center"/>
          </w:tcPr>
          <w:p>
            <w:r>
              <w:t>25.7</w:t>
            </w:r>
          </w:p>
        </w:tc>
        <w:tc>
          <w:tcPr>
            <w:tcW w:w="1166" w:type="dxa"/>
            <w:vAlign w:val="center"/>
          </w:tcPr>
          <w:p>
            <w:r>
              <w:t>26.4</w:t>
            </w:r>
          </w:p>
        </w:tc>
        <w:tc>
          <w:tcPr>
            <w:tcW w:w="1166" w:type="dxa"/>
            <w:vAlign w:val="center"/>
          </w:tcPr>
          <w:p>
            <w:r>
              <w:t>-0.733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26.1</w:t>
            </w:r>
          </w:p>
        </w:tc>
        <w:tc>
          <w:tcPr>
            <w:tcW w:w="1166" w:type="dxa"/>
            <w:vAlign w:val="center"/>
          </w:tcPr>
          <w:p>
            <w:r>
              <w:t>5.9</w:t>
            </w:r>
          </w:p>
        </w:tc>
        <w:tc>
          <w:tcPr>
            <w:tcW w:w="1166" w:type="dxa"/>
            <w:vAlign w:val="center"/>
          </w:tcPr>
          <w:p>
            <w:r>
              <w:t>3.6</w:t>
            </w:r>
          </w:p>
        </w:tc>
        <w:tc>
          <w:tcPr>
            <w:tcW w:w="1166" w:type="dxa"/>
            <w:vAlign w:val="center"/>
          </w:tcPr>
          <w:p>
            <w:r>
              <w:t>0.9</w:t>
            </w:r>
          </w:p>
        </w:tc>
        <w:tc>
          <w:tcPr>
            <w:tcW w:w="1166" w:type="dxa"/>
            <w:vAlign w:val="center"/>
          </w:tcPr>
          <w:p>
            <w:r>
              <w:t>27.5</w:t>
            </w:r>
          </w:p>
        </w:tc>
        <w:tc>
          <w:tcPr>
            <w:tcW w:w="1166" w:type="dxa"/>
            <w:vAlign w:val="center"/>
          </w:tcPr>
          <w:p>
            <w:r>
              <w:t>27.3</w:t>
            </w:r>
          </w:p>
        </w:tc>
        <w:tc>
          <w:tcPr>
            <w:tcW w:w="1166" w:type="dxa"/>
            <w:vAlign w:val="center"/>
          </w:tcPr>
          <w:p>
            <w:r>
              <w:t>0.181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26.1</w:t>
            </w:r>
          </w:p>
        </w:tc>
        <w:tc>
          <w:tcPr>
            <w:tcW w:w="1166" w:type="dxa"/>
            <w:vAlign w:val="center"/>
          </w:tcPr>
          <w:p>
            <w:r>
              <w:t>7.7</w:t>
            </w:r>
          </w:p>
        </w:tc>
        <w:tc>
          <w:tcPr>
            <w:tcW w:w="1166" w:type="dxa"/>
            <w:vAlign w:val="center"/>
          </w:tcPr>
          <w:p>
            <w:r>
              <w:t>3.6</w:t>
            </w:r>
          </w:p>
        </w:tc>
        <w:tc>
          <w:tcPr>
            <w:tcW w:w="1166" w:type="dxa"/>
            <w:vAlign w:val="center"/>
          </w:tcPr>
          <w:p>
            <w:r>
              <w:t>0.8</w:t>
            </w:r>
          </w:p>
        </w:tc>
        <w:tc>
          <w:tcPr>
            <w:tcW w:w="1166" w:type="dxa"/>
            <w:vAlign w:val="center"/>
          </w:tcPr>
          <w:p>
            <w:r>
              <w:t>29.4</w:t>
            </w:r>
          </w:p>
        </w:tc>
        <w:tc>
          <w:tcPr>
            <w:tcW w:w="1166" w:type="dxa"/>
            <w:vAlign w:val="center"/>
          </w:tcPr>
          <w:p>
            <w:r>
              <w:t>28.2</w:t>
            </w:r>
          </w:p>
        </w:tc>
        <w:tc>
          <w:tcPr>
            <w:tcW w:w="1166" w:type="dxa"/>
            <w:vAlign w:val="center"/>
          </w:tcPr>
          <w:p>
            <w:r>
              <w:t>1.203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26.1</w:t>
            </w:r>
          </w:p>
        </w:tc>
        <w:tc>
          <w:tcPr>
            <w:tcW w:w="1166" w:type="dxa"/>
            <w:vAlign w:val="center"/>
          </w:tcPr>
          <w:p>
            <w:r>
              <w:t>9.3</w:t>
            </w:r>
          </w:p>
        </w:tc>
        <w:tc>
          <w:tcPr>
            <w:tcW w:w="1166" w:type="dxa"/>
            <w:vAlign w:val="center"/>
          </w:tcPr>
          <w:p>
            <w:r>
              <w:t>3.5</w:t>
            </w:r>
          </w:p>
        </w:tc>
        <w:tc>
          <w:tcPr>
            <w:tcW w:w="1166" w:type="dxa"/>
            <w:vAlign w:val="center"/>
          </w:tcPr>
          <w:p>
            <w:r>
              <w:t>0.7</w:t>
            </w:r>
          </w:p>
        </w:tc>
        <w:tc>
          <w:tcPr>
            <w:tcW w:w="1166" w:type="dxa"/>
            <w:vAlign w:val="center"/>
          </w:tcPr>
          <w:p>
            <w:r>
              <w:t>31.2</w:t>
            </w:r>
          </w:p>
        </w:tc>
        <w:tc>
          <w:tcPr>
            <w:tcW w:w="1166" w:type="dxa"/>
            <w:vAlign w:val="center"/>
          </w:tcPr>
          <w:p>
            <w:r>
              <w:t>28.9</w:t>
            </w:r>
          </w:p>
        </w:tc>
        <w:tc>
          <w:tcPr>
            <w:tcW w:w="1166" w:type="dxa"/>
            <w:vAlign w:val="center"/>
          </w:tcPr>
          <w:p>
            <w:r>
              <w:t>2.312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26.1</w:t>
            </w:r>
          </w:p>
        </w:tc>
        <w:tc>
          <w:tcPr>
            <w:tcW w:w="1166" w:type="dxa"/>
            <w:vAlign w:val="center"/>
          </w:tcPr>
          <w:p>
            <w:r>
              <w:t>10.6</w:t>
            </w:r>
          </w:p>
        </w:tc>
        <w:tc>
          <w:tcPr>
            <w:tcW w:w="1166" w:type="dxa"/>
            <w:vAlign w:val="center"/>
          </w:tcPr>
          <w:p>
            <w:r>
              <w:t>3.5</w:t>
            </w:r>
          </w:p>
        </w:tc>
        <w:tc>
          <w:tcPr>
            <w:tcW w:w="1166" w:type="dxa"/>
            <w:vAlign w:val="center"/>
          </w:tcPr>
          <w:p>
            <w:r>
              <w:t>0.5</w:t>
            </w:r>
          </w:p>
        </w:tc>
        <w:tc>
          <w:tcPr>
            <w:tcW w:w="1166" w:type="dxa"/>
            <w:vAlign w:val="center"/>
          </w:tcPr>
          <w:p>
            <w:r>
              <w:t>32.7</w:t>
            </w:r>
          </w:p>
        </w:tc>
        <w:tc>
          <w:tcPr>
            <w:tcW w:w="1166" w:type="dxa"/>
            <w:vAlign w:val="center"/>
          </w:tcPr>
          <w:p>
            <w:r>
              <w:t>29.4</w:t>
            </w:r>
          </w:p>
        </w:tc>
        <w:tc>
          <w:tcPr>
            <w:tcW w:w="1166" w:type="dxa"/>
            <w:vAlign w:val="center"/>
          </w:tcPr>
          <w:p>
            <w:r>
              <w:t>3.292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26.1</w:t>
            </w:r>
          </w:p>
        </w:tc>
        <w:tc>
          <w:tcPr>
            <w:tcW w:w="1166" w:type="dxa"/>
            <w:vAlign w:val="center"/>
          </w:tcPr>
          <w:p>
            <w:r>
              <w:t>11.5</w:t>
            </w:r>
          </w:p>
        </w:tc>
        <w:tc>
          <w:tcPr>
            <w:tcW w:w="1166" w:type="dxa"/>
            <w:vAlign w:val="center"/>
          </w:tcPr>
          <w:p>
            <w:r>
              <w:t>3.5</w:t>
            </w:r>
          </w:p>
        </w:tc>
        <w:tc>
          <w:tcPr>
            <w:tcW w:w="1166" w:type="dxa"/>
            <w:vAlign w:val="center"/>
          </w:tcPr>
          <w:p>
            <w:r>
              <w:t>0.5</w:t>
            </w:r>
          </w:p>
        </w:tc>
        <w:tc>
          <w:tcPr>
            <w:tcW w:w="1166" w:type="dxa"/>
            <w:vAlign w:val="center"/>
          </w:tcPr>
          <w:p>
            <w:r>
              <w:t>33.7</w:t>
            </w:r>
          </w:p>
        </w:tc>
        <w:tc>
          <w:tcPr>
            <w:tcW w:w="1166" w:type="dxa"/>
            <w:vAlign w:val="center"/>
          </w:tcPr>
          <w:p>
            <w:r>
              <w:t>29.7</w:t>
            </w:r>
          </w:p>
        </w:tc>
        <w:tc>
          <w:tcPr>
            <w:tcW w:w="1166" w:type="dxa"/>
            <w:vAlign w:val="center"/>
          </w:tcPr>
          <w:p>
            <w:r>
              <w:t>3.978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26.1</w:t>
            </w:r>
          </w:p>
        </w:tc>
        <w:tc>
          <w:tcPr>
            <w:tcW w:w="1166" w:type="dxa"/>
            <w:vAlign w:val="center"/>
          </w:tcPr>
          <w:p>
            <w:r>
              <w:t>12.0</w:t>
            </w:r>
          </w:p>
        </w:tc>
        <w:tc>
          <w:tcPr>
            <w:tcW w:w="1166" w:type="dxa"/>
            <w:vAlign w:val="center"/>
          </w:tcPr>
          <w:p>
            <w:r>
              <w:t>3.5</w:t>
            </w:r>
          </w:p>
        </w:tc>
        <w:tc>
          <w:tcPr>
            <w:tcW w:w="1166" w:type="dxa"/>
            <w:vAlign w:val="center"/>
          </w:tcPr>
          <w:p>
            <w:r>
              <w:t>0.3</w:t>
            </w:r>
          </w:p>
        </w:tc>
        <w:tc>
          <w:tcPr>
            <w:tcW w:w="1166" w:type="dxa"/>
            <w:vAlign w:val="center"/>
          </w:tcPr>
          <w:p>
            <w:r>
              <w:t>34.3</w:t>
            </w:r>
          </w:p>
        </w:tc>
        <w:tc>
          <w:tcPr>
            <w:tcW w:w="1166" w:type="dxa"/>
            <w:vAlign w:val="center"/>
          </w:tcPr>
          <w:p>
            <w:r>
              <w:t>29.6</w:t>
            </w:r>
          </w:p>
        </w:tc>
        <w:tc>
          <w:tcPr>
            <w:tcW w:w="1166" w:type="dxa"/>
            <w:vAlign w:val="center"/>
          </w:tcPr>
          <w:p>
            <w:r>
              <w:t>4.679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26.1</w:t>
            </w:r>
          </w:p>
        </w:tc>
        <w:tc>
          <w:tcPr>
            <w:tcW w:w="1166" w:type="dxa"/>
            <w:vAlign w:val="center"/>
          </w:tcPr>
          <w:p>
            <w:r>
              <w:t>11.9</w:t>
            </w:r>
          </w:p>
        </w:tc>
        <w:tc>
          <w:tcPr>
            <w:tcW w:w="1166" w:type="dxa"/>
            <w:vAlign w:val="center"/>
          </w:tcPr>
          <w:p>
            <w:r>
              <w:t>3.4</w:t>
            </w:r>
          </w:p>
        </w:tc>
        <w:tc>
          <w:tcPr>
            <w:tcW w:w="1166" w:type="dxa"/>
            <w:vAlign w:val="center"/>
          </w:tcPr>
          <w:p>
            <w:r>
              <w:t>0.3</w:t>
            </w:r>
          </w:p>
        </w:tc>
        <w:tc>
          <w:tcPr>
            <w:tcW w:w="1166" w:type="dxa"/>
            <w:vAlign w:val="center"/>
          </w:tcPr>
          <w:p>
            <w:r>
              <w:t>34.3</w:t>
            </w:r>
          </w:p>
        </w:tc>
        <w:tc>
          <w:tcPr>
            <w:tcW w:w="1166" w:type="dxa"/>
            <w:vAlign w:val="center"/>
          </w:tcPr>
          <w:p>
            <w:r>
              <w:t>29.3</w:t>
            </w:r>
          </w:p>
        </w:tc>
        <w:tc>
          <w:tcPr>
            <w:tcW w:w="1166" w:type="dxa"/>
            <w:vAlign w:val="center"/>
          </w:tcPr>
          <w:p>
            <w:r>
              <w:t>5.016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26.1</w:t>
            </w:r>
          </w:p>
        </w:tc>
        <w:tc>
          <w:tcPr>
            <w:tcW w:w="1166" w:type="dxa"/>
            <w:vAlign w:val="center"/>
          </w:tcPr>
          <w:p>
            <w:r>
              <w:t>11.4</w:t>
            </w:r>
          </w:p>
        </w:tc>
        <w:tc>
          <w:tcPr>
            <w:tcW w:w="1166" w:type="dxa"/>
            <w:vAlign w:val="center"/>
          </w:tcPr>
          <w:p>
            <w:r>
              <w:t>3.5</w:t>
            </w:r>
          </w:p>
        </w:tc>
        <w:tc>
          <w:tcPr>
            <w:tcW w:w="1166" w:type="dxa"/>
            <w:vAlign w:val="center"/>
          </w:tcPr>
          <w:p>
            <w:r>
              <w:t>0.2</w:t>
            </w:r>
          </w:p>
        </w:tc>
        <w:tc>
          <w:tcPr>
            <w:tcW w:w="1166" w:type="dxa"/>
            <w:vAlign w:val="center"/>
          </w:tcPr>
          <w:p>
            <w:r>
              <w:t>33.8</w:t>
            </w:r>
          </w:p>
        </w:tc>
        <w:tc>
          <w:tcPr>
            <w:tcW w:w="1166" w:type="dxa"/>
            <w:vAlign w:val="center"/>
          </w:tcPr>
          <w:p>
            <w:r>
              <w:t>28.8</w:t>
            </w:r>
          </w:p>
        </w:tc>
        <w:tc>
          <w:tcPr>
            <w:tcW w:w="1166" w:type="dxa"/>
            <w:vAlign w:val="center"/>
          </w:tcPr>
          <w:p>
            <w:r>
              <w:t>5.045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rPr>
                <w:color w:val="FF0000"/>
              </w:rPr>
              <w:t>2.03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rPr>
                <w:color w:val="FF0000"/>
              </w:rPr>
              <w:t>不满足</w:t>
            </w:r>
          </w:p>
        </w:tc>
      </w:tr>
    </w:tbl>
    <w:p>
      <w:pPr>
        <w:pStyle w:val="3"/>
        <w:ind w:firstLine="420"/>
        <w:rPr>
          <w:lang w:val="en-US"/>
        </w:rPr>
      </w:pPr>
      <w:bookmarkStart w:id="51" w:name="平均热岛强度"/>
      <w:bookmarkEnd w:id="51"/>
    </w:p>
    <w:p>
      <w:pPr>
        <w:pStyle w:val="3"/>
        <w:ind w:firstLine="0" w:firstLineChars="0"/>
        <w:rPr>
          <w:lang w:val="en-US"/>
        </w:rPr>
      </w:pPr>
      <w:bookmarkStart w:id="52" w:name="平均热岛强度图片"/>
      <w:bookmarkEnd w:id="52"/>
      <w:r>
        <w:drawing>
          <wp:inline distT="0" distB="0" distL="0" distR="0">
            <wp:extent cx="5667375" cy="28575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0"/>
                    <a:stretch>
                      <a:fillRect/>
                    </a:stretch>
                  </pic:blipFill>
                  <pic:spPr>
                    <a:xfrm>
                      <a:off x="0" y="0"/>
                      <a:ext cx="5667375" cy="2857500"/>
                    </a:xfrm>
                    <a:prstGeom prst="rect">
                      <a:avLst/>
                    </a:prstGeom>
                  </pic:spPr>
                </pic:pic>
              </a:graphicData>
            </a:graphic>
          </wp:inline>
        </w:drawing>
      </w:r>
    </w:p>
    <w:p>
      <w:pPr>
        <w:pStyle w:val="4"/>
      </w:pPr>
      <w:bookmarkStart w:id="53" w:name="_Toc16494785"/>
      <w:r>
        <w:rPr>
          <w:rFonts w:hint="eastAsia"/>
        </w:rPr>
        <w:t>湿球黑球温度</w:t>
      </w:r>
      <w:bookmarkEnd w:id="5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8:00</w:t>
            </w:r>
          </w:p>
        </w:tc>
        <w:tc>
          <w:tcPr>
            <w:tcW w:w="1556" w:type="dxa"/>
            <w:vAlign w:val="center"/>
          </w:tcPr>
          <w:p>
            <w:r>
              <w:t>23.0</w:t>
            </w:r>
          </w:p>
        </w:tc>
        <w:tc>
          <w:tcPr>
            <w:tcW w:w="1556" w:type="dxa"/>
            <w:vAlign w:val="center"/>
          </w:tcPr>
          <w:p>
            <w:r>
              <w:t>0.8</w:t>
            </w:r>
          </w:p>
        </w:tc>
        <w:tc>
          <w:tcPr>
            <w:tcW w:w="1556" w:type="dxa"/>
            <w:vAlign w:val="center"/>
          </w:tcPr>
          <w:p>
            <w:r>
              <w:t>155.7</w:t>
            </w:r>
          </w:p>
        </w:tc>
        <w:tc>
          <w:tcPr>
            <w:tcW w:w="1556" w:type="dxa"/>
            <w:vAlign w:val="center"/>
          </w:tcPr>
          <w:p>
            <w:r>
              <w:t>37.5</w:t>
            </w:r>
          </w:p>
        </w:tc>
        <w:tc>
          <w:tcPr>
            <w:tcW w:w="1556" w:type="dxa"/>
            <w:vAlign w:val="center"/>
          </w:tcPr>
          <w:p>
            <w:r>
              <w:t>21.3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24.2</w:t>
            </w:r>
          </w:p>
        </w:tc>
        <w:tc>
          <w:tcPr>
            <w:tcW w:w="1556" w:type="dxa"/>
            <w:vAlign w:val="center"/>
          </w:tcPr>
          <w:p>
            <w:r>
              <w:t>0.8</w:t>
            </w:r>
          </w:p>
        </w:tc>
        <w:tc>
          <w:tcPr>
            <w:tcW w:w="1556" w:type="dxa"/>
            <w:vAlign w:val="center"/>
          </w:tcPr>
          <w:p>
            <w:r>
              <w:t>246.2</w:t>
            </w:r>
          </w:p>
        </w:tc>
        <w:tc>
          <w:tcPr>
            <w:tcW w:w="1556" w:type="dxa"/>
            <w:vAlign w:val="center"/>
          </w:tcPr>
          <w:p>
            <w:r>
              <w:t>59.2</w:t>
            </w:r>
          </w:p>
        </w:tc>
        <w:tc>
          <w:tcPr>
            <w:tcW w:w="1556" w:type="dxa"/>
            <w:vAlign w:val="center"/>
          </w:tcPr>
          <w:p>
            <w:r>
              <w:t>22.0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25.7</w:t>
            </w:r>
          </w:p>
        </w:tc>
        <w:tc>
          <w:tcPr>
            <w:tcW w:w="1556" w:type="dxa"/>
            <w:vAlign w:val="center"/>
          </w:tcPr>
          <w:p>
            <w:r>
              <w:t>0.7</w:t>
            </w:r>
          </w:p>
        </w:tc>
        <w:tc>
          <w:tcPr>
            <w:tcW w:w="1556" w:type="dxa"/>
            <w:vAlign w:val="center"/>
          </w:tcPr>
          <w:p>
            <w:r>
              <w:t>329.1</w:t>
            </w:r>
          </w:p>
        </w:tc>
        <w:tc>
          <w:tcPr>
            <w:tcW w:w="1556" w:type="dxa"/>
            <w:vAlign w:val="center"/>
          </w:tcPr>
          <w:p>
            <w:r>
              <w:t>79.2</w:t>
            </w:r>
          </w:p>
        </w:tc>
        <w:tc>
          <w:tcPr>
            <w:tcW w:w="1556" w:type="dxa"/>
            <w:vAlign w:val="center"/>
          </w:tcPr>
          <w:p>
            <w:r>
              <w:t>22.9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27.5</w:t>
            </w:r>
          </w:p>
        </w:tc>
        <w:tc>
          <w:tcPr>
            <w:tcW w:w="1556" w:type="dxa"/>
            <w:vAlign w:val="center"/>
          </w:tcPr>
          <w:p>
            <w:r>
              <w:t>0.7</w:t>
            </w:r>
          </w:p>
        </w:tc>
        <w:tc>
          <w:tcPr>
            <w:tcW w:w="1556" w:type="dxa"/>
            <w:vAlign w:val="center"/>
          </w:tcPr>
          <w:p>
            <w:r>
              <w:t>391.8</w:t>
            </w:r>
          </w:p>
        </w:tc>
        <w:tc>
          <w:tcPr>
            <w:tcW w:w="1556" w:type="dxa"/>
            <w:vAlign w:val="center"/>
          </w:tcPr>
          <w:p>
            <w:r>
              <w:t>94.2</w:t>
            </w:r>
          </w:p>
        </w:tc>
        <w:tc>
          <w:tcPr>
            <w:tcW w:w="1556" w:type="dxa"/>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29.4</w:t>
            </w:r>
          </w:p>
        </w:tc>
        <w:tc>
          <w:tcPr>
            <w:tcW w:w="1556" w:type="dxa"/>
            <w:vAlign w:val="center"/>
          </w:tcPr>
          <w:p>
            <w:r>
              <w:t>0.6</w:t>
            </w:r>
          </w:p>
        </w:tc>
        <w:tc>
          <w:tcPr>
            <w:tcW w:w="1556" w:type="dxa"/>
            <w:vAlign w:val="center"/>
          </w:tcPr>
          <w:p>
            <w:r>
              <w:t>439.9</w:t>
            </w:r>
          </w:p>
        </w:tc>
        <w:tc>
          <w:tcPr>
            <w:tcW w:w="1556" w:type="dxa"/>
            <w:vAlign w:val="center"/>
          </w:tcPr>
          <w:p>
            <w:r>
              <w:t>105.8</w:t>
            </w:r>
          </w:p>
        </w:tc>
        <w:tc>
          <w:tcPr>
            <w:tcW w:w="1556" w:type="dxa"/>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31.2</w:t>
            </w:r>
          </w:p>
        </w:tc>
        <w:tc>
          <w:tcPr>
            <w:tcW w:w="1556" w:type="dxa"/>
            <w:vAlign w:val="center"/>
          </w:tcPr>
          <w:p>
            <w:r>
              <w:t>0.5</w:t>
            </w:r>
          </w:p>
        </w:tc>
        <w:tc>
          <w:tcPr>
            <w:tcW w:w="1556" w:type="dxa"/>
            <w:vAlign w:val="center"/>
          </w:tcPr>
          <w:p>
            <w:r>
              <w:t>432.8</w:t>
            </w:r>
          </w:p>
        </w:tc>
        <w:tc>
          <w:tcPr>
            <w:tcW w:w="1556" w:type="dxa"/>
            <w:vAlign w:val="center"/>
          </w:tcPr>
          <w:p>
            <w:r>
              <w:t>104.1</w:t>
            </w:r>
          </w:p>
        </w:tc>
        <w:tc>
          <w:tcPr>
            <w:tcW w:w="1556" w:type="dxa"/>
            <w:vAlign w:val="center"/>
          </w:tcPr>
          <w:p>
            <w:r>
              <w:t>26.2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32.7</w:t>
            </w:r>
          </w:p>
        </w:tc>
        <w:tc>
          <w:tcPr>
            <w:tcW w:w="1556" w:type="dxa"/>
            <w:vAlign w:val="center"/>
          </w:tcPr>
          <w:p>
            <w:r>
              <w:t>0.5</w:t>
            </w:r>
          </w:p>
        </w:tc>
        <w:tc>
          <w:tcPr>
            <w:tcW w:w="1556" w:type="dxa"/>
            <w:vAlign w:val="center"/>
          </w:tcPr>
          <w:p>
            <w:r>
              <w:t>398.7</w:t>
            </w:r>
          </w:p>
        </w:tc>
        <w:tc>
          <w:tcPr>
            <w:tcW w:w="1556" w:type="dxa"/>
            <w:vAlign w:val="center"/>
          </w:tcPr>
          <w:p>
            <w:r>
              <w:t>95.9</w:t>
            </w:r>
          </w:p>
        </w:tc>
        <w:tc>
          <w:tcPr>
            <w:tcW w:w="1556" w:type="dxa"/>
            <w:vAlign w:val="center"/>
          </w:tcPr>
          <w:p>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33.7</w:t>
            </w:r>
          </w:p>
        </w:tc>
        <w:tc>
          <w:tcPr>
            <w:tcW w:w="1556" w:type="dxa"/>
            <w:vAlign w:val="center"/>
          </w:tcPr>
          <w:p>
            <w:r>
              <w:t>0.5</w:t>
            </w:r>
          </w:p>
        </w:tc>
        <w:tc>
          <w:tcPr>
            <w:tcW w:w="1556" w:type="dxa"/>
            <w:vAlign w:val="center"/>
          </w:tcPr>
          <w:p>
            <w:r>
              <w:t>344.7</w:t>
            </w:r>
          </w:p>
        </w:tc>
        <w:tc>
          <w:tcPr>
            <w:tcW w:w="1556" w:type="dxa"/>
            <w:vAlign w:val="center"/>
          </w:tcPr>
          <w:p>
            <w:r>
              <w:t>82.9</w:t>
            </w:r>
          </w:p>
        </w:tc>
        <w:tc>
          <w:tcPr>
            <w:tcW w:w="1556" w:type="dxa"/>
            <w:vAlign w:val="center"/>
          </w:tcPr>
          <w:p>
            <w:r>
              <w:t>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34.3</w:t>
            </w:r>
          </w:p>
        </w:tc>
        <w:tc>
          <w:tcPr>
            <w:tcW w:w="1556" w:type="dxa"/>
            <w:vAlign w:val="center"/>
          </w:tcPr>
          <w:p>
            <w:r>
              <w:t>0.4</w:t>
            </w:r>
          </w:p>
        </w:tc>
        <w:tc>
          <w:tcPr>
            <w:tcW w:w="1556" w:type="dxa"/>
            <w:vAlign w:val="center"/>
          </w:tcPr>
          <w:p>
            <w:r>
              <w:t>266.4</w:t>
            </w:r>
          </w:p>
        </w:tc>
        <w:tc>
          <w:tcPr>
            <w:tcW w:w="1556" w:type="dxa"/>
            <w:vAlign w:val="center"/>
          </w:tcPr>
          <w:p>
            <w:r>
              <w:t>64.1</w:t>
            </w:r>
          </w:p>
        </w:tc>
        <w:tc>
          <w:tcPr>
            <w:tcW w:w="1556" w:type="dxa"/>
            <w:vAlign w:val="center"/>
          </w:tcPr>
          <w:p>
            <w:r>
              <w:t>27.7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34.3</w:t>
            </w:r>
          </w:p>
        </w:tc>
        <w:tc>
          <w:tcPr>
            <w:tcW w:w="1556" w:type="dxa"/>
            <w:vAlign w:val="center"/>
          </w:tcPr>
          <w:p>
            <w:r>
              <w:t>0.5</w:t>
            </w:r>
          </w:p>
        </w:tc>
        <w:tc>
          <w:tcPr>
            <w:tcW w:w="1556" w:type="dxa"/>
            <w:vAlign w:val="center"/>
          </w:tcPr>
          <w:p>
            <w:r>
              <w:t>167.9</w:t>
            </w:r>
          </w:p>
        </w:tc>
        <w:tc>
          <w:tcPr>
            <w:tcW w:w="1556" w:type="dxa"/>
            <w:vAlign w:val="center"/>
          </w:tcPr>
          <w:p>
            <w:r>
              <w:t>40.4</w:t>
            </w:r>
          </w:p>
        </w:tc>
        <w:tc>
          <w:tcPr>
            <w:tcW w:w="1556" w:type="dxa"/>
            <w:vAlign w:val="center"/>
          </w:tcPr>
          <w:p>
            <w:r>
              <w:t>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33.8</w:t>
            </w:r>
          </w:p>
        </w:tc>
        <w:tc>
          <w:tcPr>
            <w:tcW w:w="1556" w:type="dxa"/>
            <w:vAlign w:val="center"/>
          </w:tcPr>
          <w:p>
            <w:r>
              <w:t>0.5</w:t>
            </w:r>
          </w:p>
        </w:tc>
        <w:tc>
          <w:tcPr>
            <w:tcW w:w="1556" w:type="dxa"/>
            <w:vAlign w:val="center"/>
          </w:tcPr>
          <w:p>
            <w:r>
              <w:t>78.3</w:t>
            </w:r>
          </w:p>
        </w:tc>
        <w:tc>
          <w:tcPr>
            <w:tcW w:w="1556" w:type="dxa"/>
            <w:vAlign w:val="center"/>
          </w:tcPr>
          <w:p>
            <w:r>
              <w:t>18.8</w:t>
            </w:r>
          </w:p>
        </w:tc>
        <w:tc>
          <w:tcPr>
            <w:tcW w:w="1556" w:type="dxa"/>
            <w:vAlign w:val="center"/>
          </w:tcPr>
          <w:p>
            <w:r>
              <w:t>27.0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27.66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bookmarkStart w:id="54" w:name="湿球黑球温度"/>
      <w:bookmarkEnd w:id="54"/>
    </w:p>
    <w:p>
      <w:pPr>
        <w:pStyle w:val="3"/>
        <w:ind w:firstLine="0" w:firstLineChars="0"/>
        <w:rPr>
          <w:lang w:val="en-US"/>
        </w:rPr>
      </w:pPr>
      <w:bookmarkStart w:id="55" w:name="湿球黑球温度图片"/>
      <w:bookmarkEnd w:id="55"/>
      <w:r>
        <w:drawing>
          <wp:inline distT="0" distB="0" distL="0" distR="0">
            <wp:extent cx="5667375" cy="30289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1"/>
                    <a:stretch>
                      <a:fillRect/>
                    </a:stretch>
                  </pic:blipFill>
                  <pic:spPr>
                    <a:xfrm>
                      <a:off x="0" y="0"/>
                      <a:ext cx="5667375" cy="3028950"/>
                    </a:xfrm>
                    <a:prstGeom prst="rect">
                      <a:avLst/>
                    </a:prstGeom>
                  </pic:spPr>
                </pic:pic>
              </a:graphicData>
            </a:graphic>
          </wp:inline>
        </w:drawing>
      </w:r>
    </w:p>
    <w:p>
      <w:pPr>
        <w:pStyle w:val="2"/>
      </w:pPr>
      <w:bookmarkStart w:id="56" w:name="_Toc16494786"/>
      <w:r>
        <w:rPr>
          <w:rFonts w:hint="eastAsia"/>
        </w:rPr>
        <w:t>结论</w:t>
      </w:r>
      <w:bookmarkEnd w:id="5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rPr>
                <w:b/>
              </w:rPr>
              <w:t>强条</w:t>
            </w:r>
          </w:p>
        </w:tc>
        <w:tc>
          <w:tcPr>
            <w:tcW w:w="2800" w:type="dxa"/>
            <w:vAlign w:val="center"/>
          </w:tcPr>
          <w:p>
            <w:r>
              <w:rPr>
                <w:b/>
              </w:rPr>
              <w:t>平均迎风面积比</w:t>
            </w:r>
          </w:p>
        </w:tc>
        <w:tc>
          <w:tcPr>
            <w:tcW w:w="1866" w:type="dxa"/>
            <w:vAlign w:val="center"/>
          </w:tcPr>
          <w:p>
            <w:r>
              <w:rPr>
                <w:b/>
                <w:color w:val="FF0000"/>
              </w:rPr>
              <w:t>不满足</w:t>
            </w:r>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rPr>
                <w:b/>
              </w:rPr>
              <w:t>活动场地遮阳覆盖率</w:t>
            </w:r>
          </w:p>
        </w:tc>
        <w:tc>
          <w:tcPr>
            <w:tcW w:w="1866" w:type="dxa"/>
            <w:vAlign w:val="center"/>
          </w:tcPr>
          <w:p>
            <w:r>
              <w:rPr>
                <w:b/>
              </w:rP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t>规定性设计</w:t>
            </w:r>
          </w:p>
        </w:tc>
        <w:tc>
          <w:tcPr>
            <w:tcW w:w="2800" w:type="dxa"/>
            <w:vAlign w:val="center"/>
          </w:tcPr>
          <w:p>
            <w:r>
              <w:t>底层通风架空率</w:t>
            </w:r>
          </w:p>
        </w:tc>
        <w:tc>
          <w:tcPr>
            <w:tcW w:w="1866" w:type="dxa"/>
            <w:vAlign w:val="center"/>
          </w:tcPr>
          <w:p>
            <w:r>
              <w:rPr>
                <w:color w:val="FF0000"/>
              </w:rPr>
              <w:t>不满足</w:t>
            </w:r>
          </w:p>
        </w:tc>
        <w:tc>
          <w:tcPr>
            <w:tcW w:w="2800" w:type="dxa"/>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绿化遮阳体叶面积指数</w:t>
            </w:r>
          </w:p>
        </w:tc>
        <w:tc>
          <w:tcPr>
            <w:tcW w:w="1866" w:type="dxa"/>
            <w:vAlign w:val="center"/>
          </w:tcPr>
          <w:p>
            <w:r>
              <w:rPr>
                <w:color w:val="FF0000"/>
              </w:rPr>
              <w:t>不满足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渗透蒸发指标</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屋面绿化率</w:t>
            </w:r>
          </w:p>
        </w:tc>
        <w:tc>
          <w:tcPr>
            <w:tcW w:w="1866" w:type="dxa"/>
            <w:vAlign w:val="center"/>
          </w:tcPr>
          <w:p>
            <w:r>
              <w:rPr>
                <w:color w:val="FF0000"/>
              </w:rPr>
              <w:t>不满足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restart"/>
            <w:shd w:val="clear" w:color="auto" w:fill="E6E6E6"/>
            <w:vAlign w:val="center"/>
          </w:tcPr>
          <w:p>
            <w:r>
              <w:t>评价性设计</w:t>
            </w:r>
          </w:p>
        </w:tc>
        <w:tc>
          <w:tcPr>
            <w:tcW w:w="2800" w:type="dxa"/>
            <w:vAlign w:val="center"/>
          </w:tcPr>
          <w:p>
            <w:r>
              <w:t>平均热岛强度</w:t>
            </w:r>
          </w:p>
        </w:tc>
        <w:tc>
          <w:tcPr>
            <w:tcW w:w="1866" w:type="dxa"/>
            <w:vAlign w:val="center"/>
          </w:tcPr>
          <w:p>
            <w:r>
              <w:rPr>
                <w:color w:val="FF0000"/>
              </w:rPr>
              <w:t>不满足</w:t>
            </w:r>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vMerge w:val="continue"/>
            <w:shd w:val="clear" w:color="auto" w:fill="E6E6E6"/>
            <w:vAlign w:val="center"/>
          </w:tcPr>
          <w:p/>
        </w:tc>
        <w:tc>
          <w:tcPr>
            <w:tcW w:w="2800" w:type="dxa"/>
            <w:vAlign w:val="center"/>
          </w:tcPr>
          <w:p>
            <w:r>
              <w:t>湿球黑球温度</w:t>
            </w:r>
          </w:p>
        </w:tc>
        <w:tc>
          <w:tcPr>
            <w:tcW w:w="1866" w:type="dxa"/>
            <w:vAlign w:val="center"/>
          </w:tcPr>
          <w:p>
            <w:r>
              <w:t>满足</w:t>
            </w:r>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gridSpan w:val="2"/>
            <w:shd w:val="clear" w:color="auto" w:fill="E6E6E6"/>
            <w:vAlign w:val="center"/>
          </w:tcPr>
          <w:p>
            <w:r>
              <w:t>结论</w:t>
            </w:r>
          </w:p>
        </w:tc>
        <w:tc>
          <w:tcPr>
            <w:tcW w:w="4666" w:type="dxa"/>
            <w:gridSpan w:val="2"/>
            <w:vAlign w:val="center"/>
          </w:tcPr>
          <w:p>
            <w:r>
              <w:rPr>
                <w:b/>
                <w:color w:val="FF0000"/>
              </w:rPr>
              <w:t>不满足</w:t>
            </w:r>
          </w:p>
        </w:tc>
      </w:tr>
    </w:tbl>
    <w:p>
      <w:pPr>
        <w:pStyle w:val="3"/>
        <w:ind w:firstLine="420"/>
        <w:rPr>
          <w:lang w:val="en-US"/>
        </w:rPr>
      </w:pPr>
      <w:bookmarkStart w:id="57" w:name="结论"/>
      <w:bookmarkEnd w:id="57"/>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C99"/>
    <w:rsid w:val="0000545C"/>
    <w:rsid w:val="0001409C"/>
    <w:rsid w:val="00026B3F"/>
    <w:rsid w:val="00037A4C"/>
    <w:rsid w:val="00051EA5"/>
    <w:rsid w:val="000A30EF"/>
    <w:rsid w:val="000B10AF"/>
    <w:rsid w:val="000B2169"/>
    <w:rsid w:val="000B2FE8"/>
    <w:rsid w:val="000D23A3"/>
    <w:rsid w:val="000F23AD"/>
    <w:rsid w:val="000F7EF2"/>
    <w:rsid w:val="00104BD0"/>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6321"/>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C99"/>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 w:val="335C6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uiPriority w:val="0"/>
  </w:style>
  <w:style w:type="character" w:styleId="24">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7177\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tmp3</Template>
  <Company>ths</Company>
  <Pages>12</Pages>
  <Words>1099</Words>
  <Characters>6265</Characters>
  <Lines>52</Lines>
  <Paragraphs>14</Paragraphs>
  <TotalTime>0</TotalTime>
  <ScaleCrop>false</ScaleCrop>
  <LinksUpToDate>false</LinksUpToDate>
  <CharactersWithSpaces>7350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2021-01-01T08:49:00Z</dcterms:created>
  <dc:creator>27177</dc:creator>
  <cp:lastModifiedBy>WPS_1557195338</cp:lastModifiedBy>
  <cp:lastPrinted>2411-12-31T16:00:00Z</cp:lastPrinted>
  <dcterms:modified xsi:type="dcterms:W3CDTF">2021-01-01T09:19:13Z</dcterms:modified>
  <dc:title>住区热环境设计报告书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