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建筑内部的非结构件、设备及附属设施等应连接牢固并能适应主体结构变形。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4698591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73500579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£</w:t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请对建筑内部的非结构件、设备及附属设施等的连接</w:t>
      </w:r>
      <w:r>
        <w:rPr>
          <w:rFonts w:hint="eastAsia" w:ascii="Times New Roman" w:hAnsi="Times New Roman" w:eastAsia="宋体" w:cs="Times New Roman"/>
          <w:szCs w:val="21"/>
        </w:rPr>
        <w:t>情况进行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建筑、结构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图</w:t>
      </w:r>
      <w:r>
        <w:rPr>
          <w:rFonts w:hint="eastAsia" w:ascii="Times New Roman" w:hAnsi="Times New Roman" w:eastAsia="宋体" w:cs="Times New Roman"/>
          <w:szCs w:val="21"/>
        </w:rPr>
        <w:t>和设计说明；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2）关键构件计算书；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3）相关检测报告；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4）建筑的维修与管理记录。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1、建筑专业施工图；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2、结构专业施工图。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6"/>
    <w:rsid w:val="00026340"/>
    <w:rsid w:val="00074A38"/>
    <w:rsid w:val="00141669"/>
    <w:rsid w:val="00370B30"/>
    <w:rsid w:val="005157A0"/>
    <w:rsid w:val="00741060"/>
    <w:rsid w:val="008D61F7"/>
    <w:rsid w:val="00A066ED"/>
    <w:rsid w:val="00AA6814"/>
    <w:rsid w:val="00B95F81"/>
    <w:rsid w:val="00CA5A36"/>
    <w:rsid w:val="00DC5783"/>
    <w:rsid w:val="00F80237"/>
    <w:rsid w:val="58D0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2019-07-12T07:39:00Z</dcterms:created>
  <dc:creator>dongYP</dc:creator>
  <cp:lastModifiedBy>邢建红</cp:lastModifiedBy>
  <dcterms:modified xsi:type="dcterms:W3CDTF">2021-03-30T09:22:37Z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7F0589D187AF458ABCA2DCAD4B630112</vt:lpwstr>
  </property>
</Properties>
</file>