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</w:t>
      </w:r>
      <w:r>
        <w:rPr>
          <w:sz w:val="24"/>
          <w:szCs w:val="40"/>
        </w:rPr>
        <w:t>4</w:t>
      </w:r>
      <w:r>
        <w:rPr>
          <w:rFonts w:hint="eastAsia"/>
          <w:sz w:val="24"/>
          <w:szCs w:val="40"/>
        </w:rPr>
        <w:t xml:space="preserve"> 定期对建筑运营效果进行评估，并根据结果进行运行优化。（</w:t>
      </w:r>
      <w:r>
        <w:rPr>
          <w:sz w:val="24"/>
          <w:szCs w:val="40"/>
        </w:rPr>
        <w:t>9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46"/>
        <w:gridCol w:w="1696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制定绿色建筑运营效果评估的技术方案和计划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4731229"/>
            <w:placeholder>
              <w:docPart w:val="AAF1A0B1BB1E48EBB778BBD0D30392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定期检查、调适公共设施设备，具有检查、调试、运行、标定的记录，且记录完整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3730887"/>
            <w:placeholder>
              <w:docPart w:val="F4C23C73D422427AA4D8AAB3930BFE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定期开展节能诊断评估，并根据评估结果制定优化方案并实施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453147"/>
            <w:placeholder>
              <w:docPart w:val="47E446E53EC14622A9F4F878A52B8A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定期对各类用水水质进行检测、公示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8013017"/>
            <w:placeholder>
              <w:docPart w:val="D63862B179D6439782D9145C98D283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525446389"/>
            <w:placeholder>
              <w:docPart w:val="986FB40A2C144E4482590542716DB3AA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项目是否制定绿色建筑运营效果评估的技术方案和计划：</w:t>
      </w:r>
      <w:sdt>
        <w:sdtPr>
          <w:rPr>
            <w:rFonts w:hint="eastAsia"/>
          </w:rPr>
          <w:id w:val="-10418127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78940196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54075544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1535322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88391153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4746200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请简要说明项目制定的</w:t>
      </w:r>
      <w:r>
        <w:rPr>
          <w:rFonts w:hint="eastAsia" w:ascii="Calibri" w:hAnsi="Calibri" w:eastAsia="宋体" w:cs="Times New Roman"/>
        </w:rPr>
        <w:t>绿色建筑运营效果评估技术方案和实施计划。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请简要说明定期检查、调试公共设施设备，开展节能诊断评估以及水质检测公示的实施情况。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1）绿色建筑运营效果评估的技术方案和实施计划；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2）公共设施设备的定期检查、调适记录；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3）定期开展节能诊断评估的物业管理制度文件以及实施记录；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4）定期开展各类用水水质检测、公示的管理制度文件以及实施记录。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3F"/>
    <w:rsid w:val="000216AE"/>
    <w:rsid w:val="00074A38"/>
    <w:rsid w:val="003E69BB"/>
    <w:rsid w:val="007C323F"/>
    <w:rsid w:val="008F496C"/>
    <w:rsid w:val="00A66CA4"/>
    <w:rsid w:val="00BC3B5D"/>
    <w:rsid w:val="00C63F19"/>
    <w:rsid w:val="4F2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F1A0B1BB1E48EBB778BBD0D30392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AB003B-7410-4297-833E-DDE72B7087C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C23C73D422427AA4D8AAB3930BFE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FA2519-4948-4A94-AF66-20BC928AE33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E446E53EC14622A9F4F878A52B8A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85B34-74A8-475A-96A4-D0EC84F4841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862B179D6439782D9145C98D28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C04B3D-5956-41A1-8CEC-5CB4CB99C7C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6FB40A2C144E4482590542716DB3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8D61CA-F641-48BF-BD6B-D25C0435E6E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91"/>
    <w:rsid w:val="006E36FA"/>
    <w:rsid w:val="00D7506E"/>
    <w:rsid w:val="00D85B91"/>
    <w:rsid w:val="00E61775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AF1A0B1BB1E48EBB778BBD0D30392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4C23C73D422427AA4D8AAB3930BFE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7E446E53EC14622A9F4F878A52B8A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3862B179D6439782D9145C98D283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86FB40A2C144E4482590542716DB3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6709AEB792D472E95FDAA7CBE7D44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7910CFA06248F99BE9F390F2DF3C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C66FDE723944805B16F9D097293BC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2</TotalTime>
  <ScaleCrop>false</ScaleCrop>
  <LinksUpToDate>false</LinksUpToDate>
  <CharactersWithSpaces>476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邢建红</cp:lastModifiedBy>
  <dcterms:modified xsi:type="dcterms:W3CDTF">2021-03-30T10:00:01Z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A6F90D2217CB46C4B85987654CB91DC7</vt:lpwstr>
  </property>
</Properties>
</file>