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941"/>
        <w:gridCol w:w="1164"/>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08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728"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308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728"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308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728"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5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8"/>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5"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内墙涂料</w:t>
            </w:r>
          </w:p>
        </w:tc>
        <w:tc>
          <w:tcPr>
            <w:tcW w:w="2575"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VOC含量≤10g/L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内墙涂料</w:t>
            </w:r>
          </w:p>
        </w:tc>
        <w:tc>
          <w:tcPr>
            <w:tcW w:w="2575"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甲醛含量≤10mg/kg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内墙涂料</w:t>
            </w:r>
          </w:p>
        </w:tc>
        <w:tc>
          <w:tcPr>
            <w:tcW w:w="2575"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总挥发性有机化合物（TVOC）≤1.0mg/m</w:t>
            </w:r>
            <w:r>
              <w:rPr>
                <w:rFonts w:hint="eastAsia" w:ascii="Times New Roman" w:hAnsi="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腻子</w:t>
            </w:r>
          </w:p>
        </w:tc>
        <w:tc>
          <w:tcPr>
            <w:tcW w:w="2575"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VOC含量≤5g/L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腻子</w:t>
            </w:r>
          </w:p>
        </w:tc>
        <w:tc>
          <w:tcPr>
            <w:tcW w:w="2575"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甲醛含量≤5mg/kg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腻子</w:t>
            </w:r>
          </w:p>
        </w:tc>
        <w:tc>
          <w:tcPr>
            <w:tcW w:w="2575" w:type="pct"/>
            <w:vAlign w:val="center"/>
          </w:tcPr>
          <w:p>
            <w:pPr>
              <w:jc w:val="center"/>
              <w:rPr>
                <w:rFonts w:ascii="Times New Roman" w:hAnsi="Times New Roman" w:eastAsiaTheme="minorEastAsia" w:cstheme="minorBidi"/>
                <w:kern w:val="2"/>
                <w:sz w:val="21"/>
                <w:szCs w:val="21"/>
                <w:lang w:val="en-US" w:eastAsia="zh-CN" w:bidi="ar-SA"/>
              </w:rPr>
            </w:pPr>
            <w:r>
              <w:rPr>
                <w:rFonts w:hint="eastAsia" w:ascii="Times New Roman" w:hAnsi="Times New Roman"/>
                <w:szCs w:val="21"/>
              </w:rPr>
              <w:t>总挥发性有机化合物（TVOC）≤1.0mg/m</w:t>
            </w:r>
            <w:r>
              <w:rPr>
                <w:rFonts w:hint="eastAsia" w:ascii="Times New Roman" w:hAnsi="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5"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5"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ascii="Times New Roman" w:hAnsi="Times New Roman" w:eastAsia="宋体" w:cs="Times New Roman"/>
                <w:kern w:val="0"/>
                <w:sz w:val="20"/>
                <w:szCs w:val="21"/>
              </w:rPr>
            </w:pPr>
            <w:r>
              <w:rPr>
                <w:rFonts w:hint="eastAsia" w:ascii="Times New Roman" w:hAnsi="Times New Roman"/>
                <w:kern w:val="0"/>
                <w:sz w:val="20"/>
                <w:szCs w:val="21"/>
              </w:rPr>
              <w:t>室内装饰装修材料的有害物质含量符合现行国家标准《绿色产品评价 涂料》GB/T35602的规定，陶瓷地砖的有害物质含量符合现行国家标准《绿色产品评价 陶瓷砖（板）》GB/T35610的规定。</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kern w:val="0"/>
                <w:sz w:val="20"/>
                <w:szCs w:val="21"/>
              </w:rPr>
              <w:t>建筑专业施工图。</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4C18C6"/>
    <w:rsid w:val="00A04483"/>
    <w:rsid w:val="00A550AE"/>
    <w:rsid w:val="00CA3E00"/>
    <w:rsid w:val="00D0717F"/>
    <w:rsid w:val="00E0372A"/>
    <w:rsid w:val="54B42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5B310E"/>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DED0A13B9264CA684F00E721237F3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0</TotalTime>
  <ScaleCrop>false</ScaleCrop>
  <LinksUpToDate>false</LinksUpToDate>
  <CharactersWithSpaces>277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磊</cp:lastModifiedBy>
  <dcterms:modified xsi:type="dcterms:W3CDTF">2021-03-25T10:26:26Z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55E1F6844CB542229F3B7D81C1972366</vt:lpwstr>
  </property>
</Properties>
</file>