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充分利用天然光。（14分）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83"/>
        <w:gridCol w:w="1513"/>
        <w:gridCol w:w="1734"/>
        <w:gridCol w:w="1562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548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住宅建筑：主要功能空间至少60%面积比例区域采光照度值不低于300lx的小时数</w:t>
            </w:r>
          </w:p>
        </w:tc>
        <w:tc>
          <w:tcPr>
            <w:tcW w:w="170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平均不少于6h/d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48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平均不少于8h/d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7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内区采光系数满足采光要求的面积比例达到60%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地下空间平均采光系数≥0.5%的面积与首层地下室面积的比例达到10%以上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主要功能空间至少60%面积比例区域采光照度值不低于采光要求的小时数平均不少于4h/d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bookmarkStart w:id="5" w:name="_GoBack"/>
            <w:bookmarkEnd w:id="5"/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概述改善室内防眩光采用的措施。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7938" w:type="dxa"/>
          </w:tcPr>
          <w:p>
            <w:pPr>
              <w:ind w:firstLine="400" w:firstLineChars="200"/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</w:rPr>
              <w:t>本项目主要功能房间采用下列措施控制不舒适眩光：</w:t>
            </w:r>
          </w:p>
          <w:p>
            <w:pPr>
              <w:ind w:firstLine="400" w:firstLineChars="200"/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</w:rPr>
              <w:t>1、作业区域避免直射阳光。</w:t>
            </w:r>
          </w:p>
          <w:p>
            <w:pPr>
              <w:ind w:firstLine="400" w:firstLineChars="200"/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</w:rPr>
              <w:t>2、室内人员的视觉背景不为窗口。</w:t>
            </w:r>
          </w:p>
          <w:p>
            <w:pPr>
              <w:ind w:firstLine="400" w:firstLineChars="200"/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</w:rPr>
              <w:t>3、采用室内遮挡措施。</w:t>
            </w:r>
          </w:p>
          <w:p>
            <w:pPr>
              <w:ind w:firstLine="400" w:firstLineChars="200"/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</w:rPr>
              <w:t>4、窗结构的内表面或窗周围的内墙面采用浅色饰面。</w:t>
            </w:r>
          </w:p>
        </w:tc>
      </w:tr>
    </w:tbl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采光达标统计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1175"/>
        <w:gridCol w:w="1660"/>
        <w:gridCol w:w="1552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内区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分析区域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主要功能空间面积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内区面积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采光达标面积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达标比例（</w:t>
            </w:r>
            <w:r>
              <w:rPr>
                <w:rFonts w:ascii="Times New Roman" w:hAnsi="Times New Roman"/>
              </w:rPr>
              <w:t>%</w:t>
            </w:r>
            <w:r>
              <w:rPr>
                <w:rFonts w:hint="eastAsia" w:ascii="Times New Roman" w:hAnsi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75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660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75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660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75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660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</w:rPr>
              <w:t>合计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75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660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住宅主要功能空间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分析区域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采光照度值不低于300lx的小时数平均不少于8h/d面积（m</w:t>
            </w:r>
            <w:r>
              <w:rPr>
                <w:rFonts w:hint="eastAsia" w:ascii="Times New Roman" w:hAnsi="Times New Roman"/>
                <w:vertAlign w:val="superscript"/>
              </w:rPr>
              <w:t>2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主要功能空间面积（m</w:t>
            </w:r>
            <w:r>
              <w:rPr>
                <w:rFonts w:hint="eastAsia" w:ascii="Times New Roman" w:hAnsi="Times New Roman"/>
                <w:vertAlign w:val="superscript"/>
              </w:rPr>
              <w:t>2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达标比例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835" w:type="dxa"/>
                <w:gridSpan w:val="2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835" w:type="dxa"/>
                <w:gridSpan w:val="2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835" w:type="dxa"/>
                <w:gridSpan w:val="2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合计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835" w:type="dxa"/>
                <w:gridSpan w:val="2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公建主要功能空间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分析区域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采光照度值不低于采光要求的小时数平均不少于8h/d面积（m</w:t>
            </w:r>
            <w:r>
              <w:rPr>
                <w:rFonts w:hint="eastAsia" w:ascii="Times New Roman" w:hAnsi="Times New Roman"/>
                <w:vertAlign w:val="superscript"/>
              </w:rPr>
              <w:t>2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主要功能空间面积（m</w:t>
            </w:r>
            <w:r>
              <w:rPr>
                <w:rFonts w:hint="eastAsia" w:ascii="Times New Roman" w:hAnsi="Times New Roman"/>
                <w:vertAlign w:val="superscript"/>
              </w:rPr>
              <w:t>2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达标比例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835" w:type="dxa"/>
                <w:gridSpan w:val="2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744722080"/>
            <w:placeholder>
              <w:docPart w:val="6077F0C6A1C44663BC05CEB05D515D71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835" w:type="dxa"/>
                <w:gridSpan w:val="2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bookmarkStart w:id="0" w:name="_Toc9944696"/>
      <w:bookmarkStart w:id="1" w:name="_Toc9944976"/>
      <w:bookmarkStart w:id="2" w:name="_Toc9945120"/>
      <w:bookmarkStart w:id="3" w:name="_Toc9945262"/>
      <w:bookmarkStart w:id="4" w:name="_Toc9945403"/>
      <w:r>
        <w:rPr>
          <w:rFonts w:ascii="Times New Roman" w:hAnsi="Times New Roman" w:cs="Times New Roman"/>
          <w:szCs w:val="21"/>
        </w:rPr>
        <w:t>1</w:t>
      </w:r>
      <w:r>
        <w:rPr>
          <w:rFonts w:hint="eastAsia" w:ascii="Times New Roman" w:hAnsi="Times New Roman" w:cs="Times New Roman"/>
          <w:szCs w:val="21"/>
        </w:rPr>
        <w:t>）建筑竣工图及说明文件，应体现室内防眩光设计措施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cs="Times New Roman"/>
          <w:szCs w:val="21"/>
        </w:rPr>
        <w:t>；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2）动态采光计算书、采光系数及面积比例计算书；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</w:t>
      </w:r>
      <w:r>
        <w:rPr>
          <w:rFonts w:hint="eastAsia"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  <w:szCs w:val="21"/>
        </w:rPr>
        <w:t>公共建筑内</w:t>
      </w:r>
      <w:r>
        <w:rPr>
          <w:rFonts w:hint="eastAsia" w:ascii="Times New Roman" w:hAnsi="Times New Roman" w:cs="Times New Roman"/>
          <w:szCs w:val="21"/>
        </w:rPr>
        <w:t>区</w:t>
      </w:r>
      <w:r>
        <w:rPr>
          <w:rFonts w:ascii="Times New Roman" w:hAnsi="Times New Roman" w:cs="Times New Roman"/>
          <w:szCs w:val="21"/>
        </w:rPr>
        <w:t>及地下空间采光系数计算书或检测报告</w:t>
      </w:r>
      <w:r>
        <w:rPr>
          <w:rFonts w:hint="eastAsia" w:ascii="Times New Roman" w:hAnsi="Times New Roman" w:cs="Times New Roman"/>
          <w:szCs w:val="21"/>
        </w:rPr>
        <w:t>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</w:rPr>
        <w:t>实际提交材料：</w:t>
      </w:r>
    </w:p>
    <w:tbl>
      <w:tblPr>
        <w:tblStyle w:val="13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08"/>
    <w:rsid w:val="00074A38"/>
    <w:rsid w:val="0018471E"/>
    <w:rsid w:val="00281D00"/>
    <w:rsid w:val="004028E2"/>
    <w:rsid w:val="00475088"/>
    <w:rsid w:val="004F1D22"/>
    <w:rsid w:val="006064E1"/>
    <w:rsid w:val="006334D1"/>
    <w:rsid w:val="00690DD4"/>
    <w:rsid w:val="006C6C06"/>
    <w:rsid w:val="00732F8B"/>
    <w:rsid w:val="00783366"/>
    <w:rsid w:val="007A7BF2"/>
    <w:rsid w:val="008A4AB0"/>
    <w:rsid w:val="009A477F"/>
    <w:rsid w:val="00BD0730"/>
    <w:rsid w:val="00D95C7A"/>
    <w:rsid w:val="00E52908"/>
    <w:rsid w:val="00F37393"/>
    <w:rsid w:val="7C55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72816F4F8874447B7B12CB94C468D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AF43-36C3-4886-A854-E4784D6FD357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4393B-B6F5-464A-920B-EEE443B2C89C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D0FC52-D1A7-4103-8268-96C9316F83C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BB7670-6A01-4FAC-AC27-021918748E7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C3DF3-8432-4860-B475-43404AD02653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816966-0F15-47ED-9727-F8802EBAE9F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5A9386-2817-476E-A2B9-495C93FE3F4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094290-B26B-4789-8249-82C232E37D3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97088-DF0D-4927-ACD1-B11BFBD8DCFC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5B2FB3-872B-41DC-94AD-E03E8FB5EA9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781226-C540-4718-B6ED-5915BC6ACB71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4AC0E-002E-4600-AF13-05B08747286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103EF-4D54-4250-B25A-7F0DA63C4E1F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C650E2-87C9-4FCC-876A-176006FF02CE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75498C-BD6C-4F41-B108-6107C1C3B095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AD2A3-7E88-44B2-8C0D-8D65EF60D662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789ADA-9643-4F45-9E24-7857300CE82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869AAD-27D1-4591-BE21-101D8910BE2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F91443-8D3C-47AD-94C6-7C8AD0B449D1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4E4B4B-2B1D-438D-87C4-29A997A94FC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436164-4F0F-4B2C-B188-DC1F3A0E4D68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A992E4-BD84-4B68-8744-1DFC9804CBAB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A4698-8510-471A-A6D3-F25E4A8FE745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E6734C-CE1C-47C3-BA14-2AF30E9380C5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85AE5B-BD84-4D99-A179-8B28DCE715DD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29A5DE-7860-441C-903B-BF341B69A00D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56D7A3-334E-4085-9DC9-9B506C04928B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811805-AA2C-4DAE-96FB-A3CA196FC156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BF53F1-F6A9-4157-9581-DD44BE81CAE2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9420B6-63D5-4736-A281-5AC8DD1488C3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A07C90-07AC-46C0-AD62-97B03715641E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F4F844-37AB-4A4B-861F-94775FE372D4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5C8BFE-42E2-4CA7-AEDD-ED933A50381A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64183-49EF-4ABD-A25F-3DB34A0D3B89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AF8A90-95A9-4FD8-8304-60C02D23636F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AD3ED7-BA5A-435F-A597-18A73690A331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F3E44F-2AF5-4EAD-8B75-180ACD3BB90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0741C-1F2B-45D4-83E5-CD05A2D6E3DF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77F0C6A1C44663BC05CEB05D515D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9F77BF-9158-4786-A062-D98ECFE85594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BD1E44-F146-43B2-900A-FAC92ECA0CC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828F49-2EC6-4F6B-8BCF-146CCF38D3DA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93A50E-1C73-46F5-92A5-C9A753BE774C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3A"/>
    <w:rsid w:val="00520B3A"/>
    <w:rsid w:val="0061514A"/>
    <w:rsid w:val="006A0AE7"/>
    <w:rsid w:val="006E0D00"/>
    <w:rsid w:val="007E7599"/>
    <w:rsid w:val="00876B59"/>
    <w:rsid w:val="0096188A"/>
    <w:rsid w:val="009C606A"/>
    <w:rsid w:val="00BC2F49"/>
    <w:rsid w:val="00D26E53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865F4B2936842CC8F47A8FB7DFFD8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DBA64A841B4FC1B88B2400C64BA0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BAAC0FA66E4822A2CFB7458F2176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9C577D18B6438EBF7D899AF7D8C8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2F4FF0050104574BF67D86418E124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72816F4F8874447B7B12CB94C468D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EE1A7E454C647FFAE416789311A71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6EFDCF673B345D7A1A7409F9AE9BD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D15FF30E9240B9926AC3889C9865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2A63E484EA244DADB3E36F172C663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945B049A78B4772934229F9B2C0D4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2B639F613114A06A60BDA13AF0841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BCFCFC6E80046CD8CB5D43782B866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FC48C86A33D437B9E60068BD56BFC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DBCBC6C34244DF8B894B6E26331C8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28B1DCB10DE4171BDAB85D2DA54C8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AE5535A03442939C1E9E5933A941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DB3B7773F334FDFA9A40671E8266B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B32F8681F464DB99280AE486908E4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63D55C435C41B4817CE5620E316B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B59D5F1610B4AFFB47115C3FE2800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A9645D3ABCE490AA248DA28F76249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05E8C8ECFEC4EF4A2B6FEA71F3DB4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5A03815BF8F4DD9B2646737FCA578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E9A5DC28DD0458D8748E281A2E02C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C065DB1E359478DAC8046A1E1D5C4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9D4D8315ACE048978D40080BF4765C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B289F9636834F98B1F03727D4350B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D7A328D03AF24B76B2C8B3643DF5F9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0BF8AF46154404E88064D18C879B7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2D8D8B03D44405DA22344ED41BB71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3B6852003C0940A99542059884E963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B7913444652426B849F390A351A98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08A8F45CDE5F4A02971E6DAB6D2573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114AAEA98F740278965372AF0F320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4C8E21D9595F4B15A867DAD9423525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29F79912161444248260C59D10B7CF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F16B2E1F43D647D4B133839DB8C2FB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008718ABCFDA4865942EAD4B5B5266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DE12014CDA1400D954C9ACAB8EBCF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84A0F3E068D424582A441A235CE58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DF125F64089C4A7AAD81F604C6E6AB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1F3857ABFA4654831F82D2C4DFE8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077F0C6A1C44663BC05CEB05D515D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07FD6A28F8E540C199ED12A5433B12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9EDF595686448489FD8BEE2540E84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7563B08F7FAB459ABBB712EA716448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8990615602184E309E9338BA074A2B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7E8231C0AC1A4B11A4810F7F702DAA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40B0B91B79EE4F7BB64541B6306322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3E457038165C45CF902BBECDBBD7D4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0C91655AC3647F4A062B7E899450B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1857C10762FF4D7B9D3A25A2969A27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784</Characters>
  <Lines>6</Lines>
  <Paragraphs>1</Paragraphs>
  <TotalTime>11</TotalTime>
  <ScaleCrop>false</ScaleCrop>
  <LinksUpToDate>false</LinksUpToDate>
  <CharactersWithSpaces>920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磊</cp:lastModifiedBy>
  <dcterms:modified xsi:type="dcterms:W3CDTF">2021-03-25T10:34:23Z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911263C087FA41AF93C6E375F8E6EDB0</vt:lpwstr>
  </property>
</Properties>
</file>