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558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廊坊开发区第五小学工程1号建筑物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廊坊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r>
              <w:rPr>
                <w:rFonts w:hint="eastAsia" w:ascii="宋体" w:hAnsi="宋体"/>
                <w:szCs w:val="21"/>
              </w:rPr>
              <w:t>M4372-1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r>
              <w:rPr>
                <w:rFonts w:hint="eastAsia" w:ascii="宋体" w:hAnsi="宋体"/>
                <w:szCs w:val="21"/>
              </w:rPr>
              <w:t>廊坊经济技术开发区管理委员会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r>
              <w:rPr>
                <w:rFonts w:hint="eastAsia" w:ascii="宋体" w:hAnsi="宋体"/>
                <w:szCs w:val="21"/>
              </w:rPr>
              <w:t>北方工程设计研究院有限公司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2021年04月08日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743075" cy="17430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
                    <a:stretch>
                      <a:fillRect/>
                    </a:stretch>
                  </pic:blipFill>
                  <pic:spPr>
                    <a:xfrm>
                      <a:off x="0" y="0"/>
                      <a:ext cx="1743258" cy="1743258"/>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579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_Toc21385 </w:instrText>
      </w:r>
      <w:r>
        <w:rPr>
          <w:rFonts w:ascii="宋体" w:hAnsi="宋体"/>
          <w:bCs w:val="0"/>
          <w:caps/>
        </w:rPr>
        <w:fldChar w:fldCharType="separate"/>
      </w:r>
      <w:r>
        <w:rPr>
          <w:rFonts w:hint="eastAsia"/>
        </w:rPr>
        <w:t>1 项目概况</w:t>
      </w:r>
      <w:r>
        <w:tab/>
      </w:r>
      <w:r>
        <w:fldChar w:fldCharType="begin"/>
      </w:r>
      <w:r>
        <w:instrText xml:space="preserve"> PAGEREF _Toc21385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_Toc811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_Toc811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_Toc29343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_Toc29343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_Toc31142 </w:instrText>
      </w:r>
      <w:r>
        <w:fldChar w:fldCharType="separate"/>
      </w:r>
      <w:r>
        <w:rPr>
          <w:rFonts w:hint="eastAsia"/>
        </w:rPr>
        <w:t>2 计算</w:t>
      </w:r>
      <w:r>
        <w:t>依据</w:t>
      </w:r>
      <w:r>
        <w:tab/>
      </w:r>
      <w:r>
        <w:fldChar w:fldCharType="begin"/>
      </w:r>
      <w:r>
        <w:instrText xml:space="preserve"> PAGEREF _Toc31142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_Toc13078 </w:instrText>
      </w:r>
      <w:r>
        <w:fldChar w:fldCharType="separate"/>
      </w:r>
      <w:r>
        <w:rPr>
          <w:rFonts w:hint="eastAsia"/>
        </w:rPr>
        <w:t>3 参考</w:t>
      </w:r>
      <w:r>
        <w:t>标准</w:t>
      </w:r>
      <w:r>
        <w:tab/>
      </w:r>
      <w:r>
        <w:fldChar w:fldCharType="begin"/>
      </w:r>
      <w:r>
        <w:instrText xml:space="preserve"> PAGEREF _Toc13078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_Toc28459 </w:instrText>
      </w:r>
      <w:r>
        <w:fldChar w:fldCharType="separate"/>
      </w:r>
      <w:r>
        <w:rPr>
          <w:rFonts w:hint="eastAsia"/>
        </w:rPr>
        <w:t>4 计算原理</w:t>
      </w:r>
      <w:r>
        <w:tab/>
      </w:r>
      <w:r>
        <w:fldChar w:fldCharType="begin"/>
      </w:r>
      <w:r>
        <w:instrText xml:space="preserve"> PAGEREF _Toc28459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_Toc17905 </w:instrText>
      </w:r>
      <w:r>
        <w:fldChar w:fldCharType="separate"/>
      </w:r>
      <w:r>
        <w:rPr>
          <w:rFonts w:hint="eastAsia"/>
          <w:lang w:val="en-GB"/>
        </w:rPr>
        <w:t xml:space="preserve">4.1 </w:t>
      </w:r>
      <w:r>
        <w:rPr>
          <w:rFonts w:hint="eastAsia"/>
        </w:rPr>
        <w:t>风场计算域</w:t>
      </w:r>
      <w:r>
        <w:tab/>
      </w:r>
      <w:r>
        <w:fldChar w:fldCharType="begin"/>
      </w:r>
      <w:r>
        <w:instrText xml:space="preserve"> PAGEREF _Toc17905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_Toc5117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_Toc5117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_Toc6255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_Toc6255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_Toc20037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_Toc20037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_Toc30323 </w:instrText>
      </w:r>
      <w:r>
        <w:fldChar w:fldCharType="separate"/>
      </w:r>
      <w:r>
        <w:rPr>
          <w:rFonts w:hint="eastAsia"/>
          <w:lang w:val="en-GB"/>
        </w:rPr>
        <w:t xml:space="preserve">4.2 </w:t>
      </w:r>
      <w:r>
        <w:rPr>
          <w:rFonts w:hint="eastAsia"/>
        </w:rPr>
        <w:t>网格划分</w:t>
      </w:r>
      <w:r>
        <w:tab/>
      </w:r>
      <w:r>
        <w:fldChar w:fldCharType="begin"/>
      </w:r>
      <w:r>
        <w:instrText xml:space="preserve"> PAGEREF _Toc30323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_Toc10060 </w:instrText>
      </w:r>
      <w:r>
        <w:fldChar w:fldCharType="separate"/>
      </w:r>
      <w:r>
        <w:rPr>
          <w:rFonts w:hint="eastAsia"/>
          <w:lang w:val="en-GB"/>
        </w:rPr>
        <w:t xml:space="preserve">4.3 </w:t>
      </w:r>
      <w:r>
        <w:rPr>
          <w:rFonts w:hint="eastAsia"/>
        </w:rPr>
        <w:t>边界条件</w:t>
      </w:r>
      <w:r>
        <w:tab/>
      </w:r>
      <w:r>
        <w:fldChar w:fldCharType="begin"/>
      </w:r>
      <w:r>
        <w:instrText xml:space="preserve"> PAGEREF _Toc10060 </w:instrText>
      </w:r>
      <w:r>
        <w:fldChar w:fldCharType="separate"/>
      </w:r>
      <w:r>
        <w:t>10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_Toc17736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_Toc17736 </w:instrText>
      </w:r>
      <w:r>
        <w:fldChar w:fldCharType="separate"/>
      </w:r>
      <w:r>
        <w:t>10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_Toc5042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_Toc5042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_Toc16774 </w:instrText>
      </w:r>
      <w:r>
        <w:fldChar w:fldCharType="separate"/>
      </w:r>
      <w:r>
        <w:rPr>
          <w:rFonts w:hint="eastAsia"/>
          <w:lang w:val="en-GB"/>
        </w:rPr>
        <w:t xml:space="preserve">4.4 </w:t>
      </w:r>
      <w:r>
        <w:rPr>
          <w:rFonts w:hint="eastAsia"/>
        </w:rPr>
        <w:t>湍流模型</w:t>
      </w:r>
      <w:r>
        <w:tab/>
      </w:r>
      <w:r>
        <w:fldChar w:fldCharType="begin"/>
      </w:r>
      <w:r>
        <w:instrText xml:space="preserve"> PAGEREF _Toc16774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_Toc30272 </w:instrText>
      </w:r>
      <w:r>
        <w:fldChar w:fldCharType="separate"/>
      </w:r>
      <w:r>
        <w:rPr>
          <w:rFonts w:hint="eastAsia"/>
          <w:lang w:val="en-GB"/>
        </w:rPr>
        <w:t xml:space="preserve">4.5 </w:t>
      </w:r>
      <w:r>
        <w:rPr>
          <w:rFonts w:hint="eastAsia"/>
        </w:rPr>
        <w:t>求解计算</w:t>
      </w:r>
      <w:r>
        <w:tab/>
      </w:r>
      <w:r>
        <w:fldChar w:fldCharType="begin"/>
      </w:r>
      <w:r>
        <w:instrText xml:space="preserve"> PAGEREF _Toc30272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_Toc16675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_Toc16675 </w:instrText>
      </w:r>
      <w:r>
        <w:fldChar w:fldCharType="separate"/>
      </w:r>
      <w:r>
        <w:t>12</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_Toc17135 </w:instrText>
      </w:r>
      <w:r>
        <w:fldChar w:fldCharType="separate"/>
      </w:r>
      <w:r>
        <w:rPr>
          <w:rFonts w:hint="eastAsia"/>
        </w:rPr>
        <w:t>5 结果</w:t>
      </w:r>
      <w:r>
        <w:t>分析</w:t>
      </w:r>
      <w:r>
        <w:tab/>
      </w:r>
      <w:r>
        <w:fldChar w:fldCharType="begin"/>
      </w:r>
      <w:r>
        <w:instrText xml:space="preserve"> PAGEREF _Toc17135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_Toc2396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_Toc2396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_Toc7948 </w:instrText>
      </w:r>
      <w:r>
        <w:fldChar w:fldCharType="separate"/>
      </w:r>
      <w:r>
        <w:rPr>
          <w:rFonts w:hint="eastAsia"/>
          <w:lang w:val="en-GB"/>
        </w:rPr>
        <w:t xml:space="preserve">5.2 </w:t>
      </w:r>
      <w:r>
        <w:rPr>
          <w:rFonts w:hint="eastAsia"/>
        </w:rPr>
        <w:t>冬季工况</w:t>
      </w:r>
      <w:r>
        <w:tab/>
      </w:r>
      <w:r>
        <w:fldChar w:fldCharType="begin"/>
      </w:r>
      <w:r>
        <w:instrText xml:space="preserve"> PAGEREF _Toc7948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_Toc773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_Toc773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_Toc2090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_Toc2090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_Toc17657 </w:instrText>
      </w:r>
      <w:r>
        <w:fldChar w:fldCharType="separate"/>
      </w:r>
      <w:r>
        <w:rPr>
          <w:rFonts w:hint="eastAsia" w:eastAsia="宋体"/>
          <w:szCs w:val="24"/>
          <w:lang w:val="en-GB"/>
        </w:rPr>
        <w:t xml:space="preserve">5.2.3 </w:t>
      </w:r>
      <w:r>
        <w:rPr>
          <w:rFonts w:hint="eastAsia" w:cs="宋体"/>
          <w:lang w:val="en-GB"/>
        </w:rPr>
        <w:t>人行区域</w:t>
      </w:r>
      <w:r>
        <w:rPr>
          <w:rFonts w:hint="eastAsia"/>
        </w:rPr>
        <w:t>冬季工况风速/风速放大系数达标判定</w:t>
      </w:r>
      <w:r>
        <w:tab/>
      </w:r>
      <w:r>
        <w:fldChar w:fldCharType="begin"/>
      </w:r>
      <w:r>
        <w:instrText xml:space="preserve"> PAGEREF _Toc17657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_Toc19335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_Toc19335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_Toc23519 </w:instrText>
      </w:r>
      <w:r>
        <w:fldChar w:fldCharType="separate"/>
      </w:r>
      <w:r>
        <w:rPr>
          <w:rFonts w:hint="eastAsia"/>
          <w:lang w:val="en-GB"/>
        </w:rPr>
        <w:t xml:space="preserve">5.3 </w:t>
      </w:r>
      <w:r>
        <w:rPr>
          <w:rFonts w:hint="eastAsia"/>
        </w:rPr>
        <w:t>夏季工况</w:t>
      </w:r>
      <w:r>
        <w:tab/>
      </w:r>
      <w:r>
        <w:fldChar w:fldCharType="begin"/>
      </w:r>
      <w:r>
        <w:instrText xml:space="preserve"> PAGEREF _Toc23519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_Toc28161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_Toc28161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_Toc8331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_Toc8331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_Toc30407 </w:instrText>
      </w:r>
      <w:r>
        <w:fldChar w:fldCharType="separate"/>
      </w:r>
      <w:r>
        <w:rPr>
          <w:rFonts w:hint="eastAsia" w:eastAsia="宋体"/>
          <w:szCs w:val="24"/>
          <w:lang w:val="en-GB"/>
        </w:rPr>
        <w:t xml:space="preserve">5.3.3 </w:t>
      </w:r>
      <w:r>
        <w:rPr>
          <w:rFonts w:hint="eastAsia"/>
        </w:rPr>
        <w:t>人行区域旋涡区/无风区达标判定</w:t>
      </w:r>
      <w:r>
        <w:tab/>
      </w:r>
      <w:r>
        <w:fldChar w:fldCharType="begin"/>
      </w:r>
      <w:r>
        <w:instrText xml:space="preserve"> PAGEREF _Toc30407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_Toc28794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_Toc28794 </w:instrText>
      </w:r>
      <w:r>
        <w:fldChar w:fldCharType="separate"/>
      </w:r>
      <w:r>
        <w:t>20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_Toc31838 </w:instrText>
      </w:r>
      <w:r>
        <w:fldChar w:fldCharType="separate"/>
      </w:r>
      <w:r>
        <w:rPr>
          <w:rFonts w:hint="eastAsia"/>
          <w:lang w:val="en-GB"/>
        </w:rPr>
        <w:t xml:space="preserve">5.4 </w:t>
      </w:r>
      <w:r>
        <w:rPr>
          <w:rFonts w:hint="eastAsia"/>
        </w:rPr>
        <w:t>过渡季工况</w:t>
      </w:r>
      <w:r>
        <w:tab/>
      </w:r>
      <w:r>
        <w:fldChar w:fldCharType="begin"/>
      </w:r>
      <w:r>
        <w:instrText xml:space="preserve"> PAGEREF _Toc31838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_Toc25383 </w:instrText>
      </w:r>
      <w:r>
        <w:fldChar w:fldCharType="separate"/>
      </w:r>
      <w:r>
        <w:rPr>
          <w:rFonts w:hint="eastAsia" w:eastAsia="宋体"/>
          <w:szCs w:val="24"/>
          <w:lang w:val="en-GB"/>
        </w:rPr>
        <w:t xml:space="preserve">5.4.1 </w:t>
      </w:r>
      <w:r>
        <w:rPr>
          <w:rFonts w:hint="eastAsia"/>
        </w:rPr>
        <w:t>无风区计算分析</w:t>
      </w:r>
      <w:r>
        <w:tab/>
      </w:r>
      <w:r>
        <w:fldChar w:fldCharType="begin"/>
      </w:r>
      <w:r>
        <w:instrText xml:space="preserve"> PAGEREF _Toc25383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_Toc28448 </w:instrText>
      </w:r>
      <w:r>
        <w:fldChar w:fldCharType="separate"/>
      </w:r>
      <w:r>
        <w:rPr>
          <w:rFonts w:hint="eastAsia" w:eastAsia="宋体"/>
          <w:szCs w:val="24"/>
          <w:lang w:val="en-GB"/>
        </w:rPr>
        <w:t xml:space="preserve">5.4.2 </w:t>
      </w:r>
      <w:r>
        <w:rPr>
          <w:rFonts w:hint="eastAsia"/>
        </w:rPr>
        <w:t>旋涡区分析</w:t>
      </w:r>
      <w:r>
        <w:tab/>
      </w:r>
      <w:r>
        <w:fldChar w:fldCharType="begin"/>
      </w:r>
      <w:r>
        <w:instrText xml:space="preserve"> PAGEREF _Toc28448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_Toc11049 </w:instrText>
      </w:r>
      <w:r>
        <w:fldChar w:fldCharType="separate"/>
      </w:r>
      <w:r>
        <w:rPr>
          <w:rFonts w:hint="eastAsia" w:eastAsia="宋体"/>
          <w:szCs w:val="24"/>
          <w:lang w:val="en-GB"/>
        </w:rPr>
        <w:t xml:space="preserve">5.4.3 </w:t>
      </w:r>
      <w:r>
        <w:rPr>
          <w:rFonts w:hint="eastAsia"/>
        </w:rPr>
        <w:t>人行区域旋涡区/无风区达标判定</w:t>
      </w:r>
      <w:r>
        <w:tab/>
      </w:r>
      <w:r>
        <w:fldChar w:fldCharType="begin"/>
      </w:r>
      <w:r>
        <w:instrText xml:space="preserve"> PAGEREF _Toc11049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_Toc13406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_Toc13406 </w:instrText>
      </w:r>
      <w:r>
        <w:fldChar w:fldCharType="separate"/>
      </w:r>
      <w:r>
        <w:t>24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_Toc2370 </w:instrText>
      </w:r>
      <w:r>
        <w:fldChar w:fldCharType="separate"/>
      </w:r>
      <w:r>
        <w:rPr>
          <w:rFonts w:hint="eastAsia"/>
          <w:lang w:val="en-GB"/>
        </w:rPr>
        <w:t xml:space="preserve">5.5 </w:t>
      </w:r>
      <w:r>
        <w:rPr>
          <w:rFonts w:hint="eastAsia"/>
        </w:rPr>
        <w:t>结论</w:t>
      </w:r>
      <w:r>
        <w:tab/>
      </w:r>
      <w:r>
        <w:fldChar w:fldCharType="begin"/>
      </w:r>
      <w:r>
        <w:instrText xml:space="preserve"> PAGEREF _Toc2370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_Toc32703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_Toc32703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_Toc10426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_Toc10426 </w:instrText>
      </w:r>
      <w:r>
        <w:fldChar w:fldCharType="separate"/>
      </w:r>
      <w:r>
        <w:t>26</w:t>
      </w:r>
      <w:r>
        <w:fldChar w:fldCharType="end"/>
      </w:r>
      <w:r>
        <w:fldChar w:fldCharType="end"/>
      </w:r>
    </w:p>
    <w:p>
      <w:pPr>
        <w:pStyle w:val="19"/>
        <w:spacing w:line="240" w:lineRule="auto"/>
        <w:sectPr>
          <w:footerReference r:id="rId5" w:type="first"/>
          <w:headerReference r:id="rId3" w:type="default"/>
          <w:footerReference r:id="rId4"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21385"/>
      <w:bookmarkStart w:id="10" w:name="_Toc452108759"/>
      <w:r>
        <w:rPr>
          <w:rFonts w:hint="eastAsia"/>
        </w:rPr>
        <w:t>项目概况</w:t>
      </w:r>
      <w:bookmarkEnd w:id="9"/>
    </w:p>
    <w:p>
      <w:pPr>
        <w:pStyle w:val="3"/>
        <w:ind w:firstLine="420"/>
        <w:rPr>
          <w:lang w:val="en-US"/>
        </w:rPr>
      </w:pPr>
      <w:bookmarkStart w:id="11"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811"/>
      <w:bookmarkStart w:id="13" w:name="_Toc452108760"/>
      <w:r>
        <w:rPr>
          <w:rFonts w:hint="eastAsia"/>
        </w:rPr>
        <w:t>总</w:t>
      </w:r>
      <w:r>
        <w:t>平面图</w:t>
      </w:r>
      <w:bookmarkEnd w:id="12"/>
    </w:p>
    <w:p>
      <w:pPr>
        <w:pStyle w:val="3"/>
        <w:ind w:firstLine="0" w:firstLineChars="0"/>
        <w:jc w:val="center"/>
        <w:rPr>
          <w:lang w:val="en-US"/>
        </w:rPr>
      </w:pPr>
      <w:r>
        <w:rPr>
          <w:rFonts w:hint="eastAsia"/>
          <w:lang w:val="en-US"/>
        </w:rPr>
        <w:t xml:space="preserve"> </w:t>
      </w:r>
      <w:bookmarkStart w:id="14" w:name="总平面图"/>
      <w:r>
        <w:drawing>
          <wp:inline distT="0" distB="0" distL="0" distR="0">
            <wp:extent cx="5667375" cy="31432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
                    <a:stretch>
                      <a:fillRect/>
                    </a:stretch>
                  </pic:blipFill>
                  <pic:spPr>
                    <a:xfrm>
                      <a:off x="0" y="0"/>
                      <a:ext cx="5667375" cy="314325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5" w:name="_Toc29343"/>
      <w:bookmarkStart w:id="16" w:name="_Toc452108761"/>
      <w:r>
        <w:rPr>
          <w:rFonts w:hint="eastAsia"/>
        </w:rPr>
        <w:t>三</w:t>
      </w:r>
      <w:r>
        <w:t>维视图</w:t>
      </w:r>
      <w:bookmarkEnd w:id="15"/>
    </w:p>
    <w:p>
      <w:pPr>
        <w:pStyle w:val="3"/>
        <w:ind w:firstLine="0" w:firstLineChars="0"/>
        <w:jc w:val="center"/>
        <w:rPr>
          <w:lang w:val="en-US"/>
        </w:rPr>
      </w:pPr>
      <w:r>
        <w:rPr>
          <w:rFonts w:hint="eastAsia"/>
          <w:lang w:val="en-US"/>
        </w:rPr>
        <w:t xml:space="preserve"> </w:t>
      </w:r>
      <w:bookmarkStart w:id="17" w:name="三维视图"/>
      <w:r>
        <w:drawing>
          <wp:inline distT="0" distB="0" distL="0" distR="0">
            <wp:extent cx="5667375" cy="31432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
                    <a:stretch>
                      <a:fillRect/>
                    </a:stretch>
                  </pic:blipFill>
                  <pic:spPr>
                    <a:xfrm>
                      <a:off x="0" y="0"/>
                      <a:ext cx="5667375" cy="314325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18" w:name="_Toc31142"/>
      <w:bookmarkStart w:id="19" w:name="TitleFormat"/>
      <w:bookmarkStart w:id="20" w:name="_Toc452108762"/>
      <w:r>
        <w:rPr>
          <w:rFonts w:hint="eastAsia"/>
        </w:rPr>
        <w:t>计算</w:t>
      </w:r>
      <w:r>
        <w:t>依据</w:t>
      </w:r>
      <w:bookmarkEnd w:id="18"/>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w:t>
      </w:r>
      <w:r>
        <w:rPr>
          <w:lang w:val="en-US"/>
        </w:rPr>
        <w:t>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1" w:name="_Toc13078"/>
      <w:bookmarkStart w:id="22" w:name="_Toc452108763"/>
      <w:r>
        <w:rPr>
          <w:rFonts w:hint="eastAsia"/>
        </w:rPr>
        <w:t>参考</w:t>
      </w:r>
      <w:r>
        <w:t>标准</w:t>
      </w:r>
      <w:bookmarkEnd w:id="21"/>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23" w:name="_Toc451698935"/>
      <w:bookmarkStart w:id="24" w:name="_Toc452108764"/>
      <w:bookmarkStart w:id="25"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6" w:name="_Toc28459"/>
      <w:r>
        <w:rPr>
          <w:rFonts w:hint="eastAsia"/>
        </w:rPr>
        <w:t>计算原理</w:t>
      </w:r>
      <w:bookmarkEnd w:id="26"/>
    </w:p>
    <w:p>
      <w:pPr>
        <w:pStyle w:val="4"/>
        <w:numPr>
          <w:ilvl w:val="1"/>
          <w:numId w:val="3"/>
        </w:numPr>
      </w:pPr>
      <w:bookmarkStart w:id="27" w:name="_Toc17905"/>
      <w:bookmarkStart w:id="28" w:name="_Toc509844740"/>
      <w:bookmarkStart w:id="29" w:name="_Toc451698937"/>
      <w:bookmarkStart w:id="30" w:name="_Toc452108765"/>
      <w:r>
        <w:rPr>
          <w:rFonts w:hint="eastAsia"/>
        </w:rPr>
        <w:t>风场计算域</w:t>
      </w:r>
      <w:bookmarkEnd w:id="27"/>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1" w:name="_Toc5117"/>
      <w:r>
        <w:rPr>
          <w:rFonts w:hint="eastAsia"/>
        </w:rPr>
        <w:t>冬季工况风场计算域</w:t>
      </w:r>
      <w:bookmarkEnd w:id="31"/>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39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0" w:type="dxa"/>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0" w:type="dxa"/>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0" w:type="dxa"/>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2" w:name="冬季风场Z尺寸"/>
            <w:r>
              <w:t>124</w:t>
            </w:r>
          </w:p>
        </w:tc>
      </w:tr>
    </w:tbl>
    <w:p>
      <w:pPr>
        <w:pStyle w:val="3"/>
        <w:ind w:firstLine="0" w:firstLineChars="0"/>
        <w:jc w:val="center"/>
        <w:rPr>
          <w:lang w:val="en-US"/>
        </w:rPr>
      </w:pPr>
      <w:r>
        <w:drawing>
          <wp:inline distT="0" distB="0" distL="0" distR="0">
            <wp:extent cx="5667375" cy="29813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0"/>
                    <a:stretch>
                      <a:fillRect/>
                    </a:stretch>
                  </pic:blipFill>
                  <pic:spPr>
                    <a:xfrm>
                      <a:off x="0" y="0"/>
                      <a:ext cx="5667375" cy="2981325"/>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3" w:name="_Toc6255"/>
      <w:r>
        <w:rPr>
          <w:rFonts w:hint="eastAsia"/>
        </w:rPr>
        <w:t>夏季工况风场计算域</w:t>
      </w:r>
      <w:bookmarkEnd w:id="33"/>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39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0" w:type="dxa"/>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0" w:type="dxa"/>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0" w:type="dxa"/>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124</w:t>
            </w:r>
          </w:p>
        </w:tc>
      </w:tr>
    </w:tbl>
    <w:p>
      <w:pPr>
        <w:pStyle w:val="3"/>
        <w:ind w:firstLine="0" w:firstLineChars="0"/>
        <w:jc w:val="center"/>
        <w:rPr>
          <w:lang w:val="en-US"/>
        </w:rPr>
      </w:pPr>
      <w:r>
        <w:drawing>
          <wp:inline distT="0" distB="0" distL="0" distR="0">
            <wp:extent cx="5667375" cy="29813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a:stretch>
                      <a:fillRect/>
                    </a:stretch>
                  </pic:blipFill>
                  <pic:spPr>
                    <a:xfrm>
                      <a:off x="0" y="0"/>
                      <a:ext cx="5667375" cy="2981325"/>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5"/>
        <w:numPr>
          <w:ilvl w:val="2"/>
          <w:numId w:val="3"/>
        </w:numPr>
      </w:pPr>
      <w:bookmarkStart w:id="34" w:name="_Toc20037"/>
      <w:r>
        <w:rPr>
          <w:rFonts w:hint="eastAsia"/>
        </w:rPr>
        <w:t>过渡季工况风场计算域</w:t>
      </w:r>
      <w:bookmarkEnd w:id="34"/>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39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0" w:type="dxa"/>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0" w:type="dxa"/>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0" w:type="dxa"/>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124</w:t>
            </w:r>
          </w:p>
        </w:tc>
      </w:tr>
    </w:tbl>
    <w:p>
      <w:pPr>
        <w:pStyle w:val="3"/>
        <w:ind w:firstLine="0" w:firstLineChars="0"/>
        <w:jc w:val="center"/>
        <w:rPr>
          <w:lang w:val="en-US"/>
        </w:rPr>
      </w:pPr>
      <w:r>
        <w:drawing>
          <wp:inline distT="0" distB="0" distL="0" distR="0">
            <wp:extent cx="5667375" cy="29813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a:stretch>
                      <a:fillRect/>
                    </a:stretch>
                  </pic:blipFill>
                  <pic:spPr>
                    <a:xfrm>
                      <a:off x="0" y="0"/>
                      <a:ext cx="5667375" cy="2981325"/>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5"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6" w:name="_Toc30323"/>
      <w:bookmarkStart w:id="37" w:name="_Toc509844741"/>
      <w:r>
        <w:rPr>
          <w:rFonts w:hint="eastAsia"/>
        </w:rPr>
        <w:t>网格划分</w:t>
      </w:r>
      <w:bookmarkEnd w:id="36"/>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38" w:name="OLE_LINK276"/>
      <w:bookmarkStart w:id="39" w:name="OLE_LINK277"/>
      <w:r>
        <w:rPr>
          <w:rFonts w:hint="eastAsia"/>
        </w:rPr>
        <w:t>1）普通网格：指除靠近地面和建筑以外的网格，通常不需要特别加密处理</w:t>
      </w:r>
    </w:p>
    <w:p>
      <w:pPr>
        <w:pStyle w:val="12"/>
        <w:numPr>
          <w:ilvl w:val="0"/>
          <w:numId w:val="4"/>
        </w:numPr>
        <w:spacing w:before="156"/>
      </w:pPr>
      <w:bookmarkStart w:id="40" w:name="OLE_LINK15"/>
      <w:r>
        <w:rPr>
          <w:rFonts w:hint="eastAsia"/>
        </w:rPr>
        <w:t>分弧精度：对于有圆弧特征的建筑局部，把圆弧分解为线段时，弦到弧的最大距离；</w:t>
      </w:r>
    </w:p>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fixed"/>
        <w:tblCellMar>
          <w:top w:w="0" w:type="dxa"/>
          <w:left w:w="108" w:type="dxa"/>
          <w:bottom w:w="0" w:type="dxa"/>
          <w:right w:w="108" w:type="dxa"/>
        </w:tblCellMar>
      </w:tblPr>
      <w:tblGrid>
        <w:gridCol w:w="1863"/>
        <w:gridCol w:w="1701"/>
        <w:gridCol w:w="2977"/>
        <w:gridCol w:w="1701"/>
      </w:tblGrid>
      <w:tr>
        <w:tblPrEx>
          <w:tblLayout w:type="fixed"/>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Layout w:type="fixed"/>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507467</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fixed"/>
        <w:tblCellMar>
          <w:top w:w="0" w:type="dxa"/>
          <w:left w:w="108" w:type="dxa"/>
          <w:bottom w:w="0" w:type="dxa"/>
          <w:right w:w="108" w:type="dxa"/>
        </w:tblCellMar>
      </w:tblPr>
      <w:tblGrid>
        <w:gridCol w:w="1863"/>
        <w:gridCol w:w="1701"/>
        <w:gridCol w:w="2977"/>
        <w:gridCol w:w="1701"/>
      </w:tblGrid>
      <w:tr>
        <w:tblPrEx>
          <w:tblLayout w:type="fixed"/>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Layout w:type="fixed"/>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512948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fixed"/>
        <w:tblCellMar>
          <w:top w:w="0" w:type="dxa"/>
          <w:left w:w="108" w:type="dxa"/>
          <w:bottom w:w="0" w:type="dxa"/>
          <w:right w:w="108" w:type="dxa"/>
        </w:tblCellMar>
      </w:tblPr>
      <w:tblGrid>
        <w:gridCol w:w="1863"/>
        <w:gridCol w:w="1701"/>
        <w:gridCol w:w="2977"/>
        <w:gridCol w:w="1701"/>
      </w:tblGrid>
      <w:tr>
        <w:tblPrEx>
          <w:tblLayout w:type="fixed"/>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Layout w:type="fixed"/>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512948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Layout w:type="fixed"/>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bookmarkStart w:id="41" w:name="_GoBack"/>
      <w:bookmarkEnd w:id="41"/>
    </w:p>
    <w:p>
      <w:pPr>
        <w:pStyle w:val="3"/>
        <w:ind w:firstLine="630" w:firstLineChars="300"/>
        <w:rPr>
          <w:rFonts w:ascii="黑体" w:hAnsi="黑体" w:eastAsia="黑体"/>
          <w:szCs w:val="20"/>
        </w:rPr>
      </w:pPr>
      <w:bookmarkStart w:id="42" w:name="网格划分信息"/>
      <w:r>
        <w:rPr>
          <w:rFonts w:hint="eastAsia" w:ascii="黑体" w:hAnsi="黑体" w:eastAsia="黑体"/>
          <w:szCs w:val="20"/>
          <w:lang w:val="en-US"/>
        </w:rPr>
        <w:t>注：前述计算域随风向不同，所以相同的网格方案会产生不同的网格数量。</w:t>
      </w:r>
    </w:p>
    <w:p>
      <w:pPr>
        <w:pStyle w:val="4"/>
        <w:numPr>
          <w:ilvl w:val="1"/>
          <w:numId w:val="3"/>
        </w:numPr>
      </w:pPr>
      <w:bookmarkStart w:id="43" w:name="_Toc509844742"/>
      <w:bookmarkStart w:id="44" w:name="_Toc10060"/>
      <w:r>
        <w:rPr>
          <w:rFonts w:hint="eastAsia"/>
        </w:rPr>
        <w:t>边界条件</w:t>
      </w:r>
      <w:bookmarkEnd w:id="43"/>
      <w:bookmarkEnd w:id="44"/>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45" w:name="_Toc509844743"/>
      <w:bookmarkStart w:id="46" w:name="_Toc17736"/>
      <w:r>
        <w:rPr>
          <w:rFonts w:hint="eastAsia"/>
        </w:rPr>
        <w:t>入口与出口边界条件</w:t>
      </w:r>
      <w:bookmarkEnd w:id="45"/>
      <w:bookmarkEnd w:id="46"/>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47" w:name="地面粗糙度指数2"/>
      <w:r>
        <w:rPr>
          <w:rFonts w:hint="eastAsia"/>
          <w:lang w:val="en-US"/>
        </w:rPr>
        <w:t>0.22</w:t>
      </w:r>
      <w:bookmarkEnd w:id="47"/>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fixed"/>
        <w:tblCellMar>
          <w:top w:w="0" w:type="dxa"/>
          <w:left w:w="108" w:type="dxa"/>
          <w:bottom w:w="0" w:type="dxa"/>
          <w:right w:w="108" w:type="dxa"/>
        </w:tblCellMar>
      </w:tblPr>
      <w:tblGrid>
        <w:gridCol w:w="2864"/>
        <w:gridCol w:w="4366"/>
        <w:gridCol w:w="1701"/>
      </w:tblGrid>
      <w:tr>
        <w:tblPrEx>
          <w:tblLayout w:type="fixed"/>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Layout w:type="fixed"/>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Layout w:type="fixed"/>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Layout w:type="fixed"/>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48" w:name="_Toc509844744"/>
      <w:bookmarkStart w:id="49" w:name="_Toc5042"/>
      <w:r>
        <w:rPr>
          <w:rFonts w:hint="eastAsia"/>
        </w:rPr>
        <w:t>壁面边界条件</w:t>
      </w:r>
      <w:bookmarkEnd w:id="48"/>
      <w:bookmarkEnd w:id="49"/>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50" w:name="_Toc16774"/>
      <w:r>
        <w:rPr>
          <w:rFonts w:hint="eastAsia"/>
        </w:rPr>
        <w:t>湍流模型</w:t>
      </w:r>
      <w:bookmarkEnd w:id="50"/>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fixed"/>
        <w:tblCellMar>
          <w:top w:w="0" w:type="dxa"/>
          <w:left w:w="108" w:type="dxa"/>
          <w:bottom w:w="0" w:type="dxa"/>
          <w:right w:w="108" w:type="dxa"/>
        </w:tblCellMar>
      </w:tblPr>
      <w:tblGrid>
        <w:gridCol w:w="2640"/>
        <w:gridCol w:w="6760"/>
      </w:tblGrid>
      <w:tr>
        <w:tblPrEx>
          <w:tblLayout w:type="fixed"/>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Layout w:type="fixed"/>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Layout w:type="fixed"/>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Layout w:type="fixed"/>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51" w:name="_Toc452108767"/>
      <w:bookmarkStart w:id="52" w:name="_Toc451698939"/>
      <w:bookmarkStart w:id="53" w:name="_Toc30272"/>
      <w:r>
        <w:rPr>
          <w:rFonts w:hint="eastAsia"/>
        </w:rPr>
        <w:t>求解计算</w:t>
      </w:r>
      <w:bookmarkEnd w:id="51"/>
      <w:bookmarkEnd w:id="52"/>
      <w:bookmarkEnd w:id="53"/>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4"/>
      <w:r>
        <w:rPr>
          <w:rFonts w:hint="eastAsia" w:ascii="黑体" w:hAnsi="黑体" w:eastAsia="黑体"/>
          <w:sz w:val="20"/>
          <w:szCs w:val="20"/>
        </w:rPr>
        <w:t xml:space="preserve"> </w:t>
      </w:r>
      <w:bookmarkStart w:id="55" w:name="_Ref225175618"/>
      <w:r>
        <w:rPr>
          <w:rFonts w:hint="eastAsia" w:ascii="黑体" w:hAnsi="黑体" w:eastAsia="黑体"/>
          <w:sz w:val="20"/>
          <w:szCs w:val="20"/>
        </w:rPr>
        <w:t>计算流体力学的控制方程</w:t>
      </w:r>
      <w:bookmarkEnd w:id="5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56" w:name="_Toc16675"/>
      <w:bookmarkStart w:id="57" w:name="_Toc509844747"/>
      <w:r>
        <w:rPr>
          <w:rFonts w:hint="eastAsia"/>
        </w:rPr>
        <w:t>风速放大系数计算</w:t>
      </w:r>
      <w:bookmarkEnd w:id="56"/>
      <w:bookmarkEnd w:id="57"/>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90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ctrlPr>
                              <w:rPr>
                                <w:rFonts w:ascii="Cambria Math" w:hAnsi="Cambria Math"/>
                                <w:i/>
                                <w:lang w:val="en-US"/>
                              </w:rPr>
                            </m:ctrlPr>
                          </m:e>
                          <m:sup>
                            <m:r>
                              <w:rPr>
                                <w:rFonts w:ascii="Cambria Math" w:hAnsi="Cambria Math"/>
                                <w:lang w:val="en-US"/>
                              </w:rPr>
                              <m:t>'</m:t>
                            </m:r>
                            <m:ctrlPr>
                              <w:rPr>
                                <w:rFonts w:ascii="Cambria Math" w:hAnsi="Cambria Math"/>
                                <w:i/>
                                <w:lang w:val="en-US"/>
                              </w:rPr>
                            </m:ctrlP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ctrlPr>
                                      <w:rPr>
                                        <w:rFonts w:ascii="Cambria Math" w:hAnsi="Cambria Math"/>
                                        <w:i/>
                                        <w:lang w:val="en-US"/>
                                      </w:rPr>
                                    </m:ctrlPr>
                                  </m:num>
                                  <m:den>
                                    <m: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1" o:title=""/>
            <o:lock v:ext="edit" aspectratio="t"/>
            <w10:wrap type="none"/>
            <w10:anchorlock/>
          </v:shape>
          <o:OLEObject Type="Embed" ProgID="Equation.3" ShapeID="_x0000_i1028" DrawAspect="Content" ObjectID="_1468075728" r:id="rId60">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3" o:title=""/>
            <o:lock v:ext="edit" aspectratio="t"/>
            <w10:wrap type="none"/>
            <w10:anchorlock/>
          </v:shape>
          <o:OLEObject Type="Embed" ProgID="Equation.3" ShapeID="_x0000_i1029" DrawAspect="Content" ObjectID="_1468075729" r:id="rId62">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5" o:title=""/>
            <o:lock v:ext="edit" aspectratio="t"/>
            <w10:wrap type="none"/>
            <w10:anchorlock/>
          </v:shape>
          <o:OLEObject Type="Embed" ProgID="Equation.3" ShapeID="_x0000_i1030" DrawAspect="Content" ObjectID="_1468075730" r:id="rId64">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67" o:title=""/>
            <o:lock v:ext="edit" aspectratio="t"/>
            <w10:wrap type="none"/>
            <w10:anchorlock/>
          </v:shape>
          <o:OLEObject Type="Embed" ProgID="Equation.3" ShapeID="_x0000_i1031" DrawAspect="Content" ObjectID="_1468075731" r:id="rId66">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58" w:name="地面粗糙度指数"/>
      <w:r>
        <w:rPr>
          <w:rFonts w:hint="eastAsia"/>
          <w:lang w:val="en-US"/>
        </w:rPr>
        <w:t>0.22</w:t>
      </w:r>
      <w:bookmarkEnd w:id="58"/>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59" w:name="_Toc17135"/>
      <w:bookmarkStart w:id="60" w:name="_Toc452108768"/>
      <w:r>
        <w:rPr>
          <w:rFonts w:hint="eastAsia"/>
        </w:rPr>
        <w:t>结果</w:t>
      </w:r>
      <w:r>
        <w:t>分析</w:t>
      </w:r>
      <w:bookmarkEnd w:id="59"/>
      <w:bookmarkEnd w:id="60"/>
    </w:p>
    <w:p>
      <w:pPr>
        <w:pStyle w:val="4"/>
        <w:rPr>
          <w:szCs w:val="21"/>
        </w:rPr>
      </w:pPr>
      <w:bookmarkStart w:id="61" w:name="_Toc2396"/>
      <w:r>
        <w:rPr>
          <w:rFonts w:hint="eastAsia"/>
          <w:szCs w:val="21"/>
        </w:rPr>
        <w:t>工况</w:t>
      </w:r>
      <w:r>
        <w:rPr>
          <w:szCs w:val="21"/>
        </w:rPr>
        <w:t>表</w:t>
      </w:r>
      <w:bookmarkEnd w:id="61"/>
    </w:p>
    <w:p>
      <w:pPr>
        <w:rPr>
          <w:szCs w:val="21"/>
        </w:rPr>
      </w:pPr>
      <w:r>
        <w:rPr>
          <w:rFonts w:hint="eastAsia"/>
          <w:szCs w:val="21"/>
        </w:rPr>
        <w:t>本结果基于以下几个工况进行计算：</w:t>
      </w:r>
    </w:p>
    <w:tbl>
      <w:tblPr>
        <w:tblStyle w:val="21"/>
        <w:tblW w:w="928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23" w:type="dxa"/>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62" w:name="计算工况表"/>
            <w:r>
              <w:rPr>
                <w:rFonts w:hint="eastAsia" w:ascii="Calibri" w:hAnsi="Calibri"/>
                <w:szCs w:val="21"/>
              </w:rPr>
              <w:t>序号</w:t>
            </w:r>
          </w:p>
        </w:tc>
        <w:tc>
          <w:tcPr>
            <w:tcW w:w="2166" w:type="dxa"/>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2205" w:type="dxa"/>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1847" w:type="dxa"/>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1847" w:type="dxa"/>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23" w:type="dxa"/>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2166" w:type="dxa"/>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2205" w:type="dxa"/>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3.30</w:t>
            </w:r>
          </w:p>
        </w:tc>
        <w:tc>
          <w:tcPr>
            <w:tcW w:w="1847" w:type="dxa"/>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NE</w:t>
            </w:r>
          </w:p>
        </w:tc>
        <w:tc>
          <w:tcPr>
            <w:tcW w:w="1847" w:type="dxa"/>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45.0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23" w:type="dxa"/>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2</w:t>
            </w:r>
          </w:p>
        </w:tc>
        <w:tc>
          <w:tcPr>
            <w:tcW w:w="2166" w:type="dxa"/>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夏季</w:t>
            </w:r>
          </w:p>
        </w:tc>
        <w:tc>
          <w:tcPr>
            <w:tcW w:w="2205" w:type="dxa"/>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2.20</w:t>
            </w:r>
          </w:p>
        </w:tc>
        <w:tc>
          <w:tcPr>
            <w:tcW w:w="1847" w:type="dxa"/>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SW</w:t>
            </w:r>
          </w:p>
        </w:tc>
        <w:tc>
          <w:tcPr>
            <w:tcW w:w="1847" w:type="dxa"/>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225.0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23" w:type="dxa"/>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3</w:t>
            </w:r>
          </w:p>
        </w:tc>
        <w:tc>
          <w:tcPr>
            <w:tcW w:w="2166" w:type="dxa"/>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过渡季</w:t>
            </w:r>
          </w:p>
        </w:tc>
        <w:tc>
          <w:tcPr>
            <w:tcW w:w="2205" w:type="dxa"/>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2.50</w:t>
            </w:r>
          </w:p>
        </w:tc>
        <w:tc>
          <w:tcPr>
            <w:tcW w:w="1847" w:type="dxa"/>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SW</w:t>
            </w:r>
          </w:p>
        </w:tc>
        <w:tc>
          <w:tcPr>
            <w:tcW w:w="1847" w:type="dxa"/>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225.0</w:t>
            </w:r>
          </w:p>
        </w:tc>
      </w:tr>
      <w:bookmarkEnd w:id="62"/>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8"/>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63" w:name="_Toc7948"/>
      <w:r>
        <w:rPr>
          <w:rFonts w:hint="eastAsia"/>
        </w:rPr>
        <w:t>冬季工况</w:t>
      </w:r>
      <w:bookmarkEnd w:id="63"/>
    </w:p>
    <w:p>
      <w:pPr>
        <w:ind w:firstLine="420" w:firstLineChars="200"/>
        <w:jc w:val="both"/>
      </w:pPr>
      <w:r>
        <w:rPr>
          <w:rFonts w:hint="eastAsia"/>
          <w:lang w:val="en-US"/>
        </w:rPr>
        <w:t>本项目冬季工况的入口边界风速为</w:t>
      </w:r>
      <w:r>
        <w:rPr>
          <w:rFonts w:hint="eastAsia" w:ascii="Calibri" w:hAnsi="Calibri"/>
          <w:szCs w:val="21"/>
        </w:rPr>
        <w:t>3.30</w:t>
      </w:r>
      <w:r>
        <w:rPr>
          <w:rFonts w:ascii="Calibri" w:hAnsi="Calibri"/>
          <w:szCs w:val="21"/>
        </w:rPr>
        <w:t>m/s</w:t>
      </w:r>
      <w:r>
        <w:rPr>
          <w:rFonts w:hint="eastAsia" w:ascii="Calibri" w:hAnsi="Calibri"/>
          <w:szCs w:val="21"/>
        </w:rPr>
        <w:t>，风向为</w:t>
      </w:r>
      <w:r>
        <w:rPr>
          <w:szCs w:val="21"/>
        </w:rPr>
        <w:t>NE</w:t>
      </w:r>
      <w:r>
        <w:rPr>
          <w:rFonts w:hint="eastAsia"/>
          <w:szCs w:val="21"/>
        </w:rPr>
        <w:t>。</w:t>
      </w:r>
    </w:p>
    <w:p>
      <w:pPr>
        <w:pStyle w:val="5"/>
      </w:pPr>
      <w:bookmarkStart w:id="64" w:name="_Toc773"/>
      <w:r>
        <w:rPr>
          <w:rFonts w:hint="eastAsia"/>
        </w:rPr>
        <w:t>风速达标分析</w:t>
      </w:r>
      <w:bookmarkEnd w:id="64"/>
      <w:r>
        <w:rPr>
          <w:rFonts w:hint="eastAsia"/>
        </w:rPr>
        <w:t xml:space="preserve"> </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r>
        <w:rPr>
          <w:lang w:val="en-US"/>
        </w:rPr>
        <w:t>建筑周围</w:t>
      </w:r>
      <w:r>
        <w:rPr>
          <w:color w:val="00FF00"/>
          <w:lang w:val="en-US"/>
        </w:rPr>
        <w:t>没有</w:t>
      </w:r>
      <w:r>
        <w:rPr>
          <w:lang w:val="en-US"/>
        </w:rPr>
        <w:t>风速超限区域，</w:t>
      </w:r>
      <w:r>
        <w:rPr>
          <w:color w:val="00FF00"/>
          <w:lang w:val="en-US"/>
        </w:rPr>
        <w:t>可以</w:t>
      </w:r>
      <w:r>
        <w:rPr>
          <w:lang w:val="en-US"/>
        </w:rPr>
        <w:t>采用该建筑布局。</w:t>
      </w:r>
    </w:p>
    <w:p>
      <w:pPr>
        <w:pStyle w:val="3"/>
        <w:ind w:hanging="2" w:firstLineChars="0"/>
        <w:jc w:val="center"/>
        <w:rPr>
          <w:rFonts w:ascii="Calibri Light" w:hAnsi="Calibri Light" w:eastAsia="黑体"/>
          <w:sz w:val="20"/>
          <w:szCs w:val="20"/>
        </w:rPr>
      </w:pPr>
      <w:r>
        <w:drawing>
          <wp:inline distT="0" distB="0" distL="0" distR="0">
            <wp:extent cx="5667375" cy="28670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9"/>
                    <a:stretch>
                      <a:fillRect/>
                    </a:stretch>
                  </pic:blipFill>
                  <pic:spPr>
                    <a:xfrm>
                      <a:off x="0" y="0"/>
                      <a:ext cx="5667375" cy="28670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bookmarkStart w:id="65" w:name="_Toc2090"/>
      <w:r>
        <w:rPr>
          <w:rFonts w:hint="eastAsia"/>
        </w:rPr>
        <w:t>风速放大系数达标分析</w:t>
      </w:r>
      <w:bookmarkEnd w:id="65"/>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r>
        <w:rPr>
          <w:lang w:val="en-US"/>
        </w:rPr>
        <w:t>建筑周围</w:t>
      </w:r>
      <w:r>
        <w:rPr>
          <w:color w:val="00FF00"/>
          <w:lang w:val="en-US"/>
        </w:rPr>
        <w:t>没有</w:t>
      </w:r>
      <w:r>
        <w:rPr>
          <w:lang w:val="en-US"/>
        </w:rPr>
        <w:t>风速放大系数超限区域，</w:t>
      </w:r>
      <w:r>
        <w:rPr>
          <w:color w:val="00FF00"/>
          <w:lang w:val="en-US"/>
        </w:rPr>
        <w:t>可以</w:t>
      </w:r>
      <w:r>
        <w:rPr>
          <w:lang w:val="en-US"/>
        </w:rPr>
        <w:t>采用该建筑布局。</w:t>
      </w:r>
    </w:p>
    <w:p>
      <w:pPr>
        <w:pStyle w:val="13"/>
        <w:jc w:val="center"/>
        <w:rPr>
          <w:lang w:val="en-US"/>
        </w:rPr>
      </w:pPr>
      <w:r>
        <w:drawing>
          <wp:inline distT="0" distB="0" distL="0" distR="0">
            <wp:extent cx="5667375" cy="28575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0"/>
                    <a:stretch>
                      <a:fillRect/>
                    </a:stretch>
                  </pic:blipFill>
                  <pic:spPr>
                    <a:xfrm>
                      <a:off x="0" y="0"/>
                      <a:ext cx="5667375" cy="2857500"/>
                    </a:xfrm>
                    <a:prstGeom prst="rect">
                      <a:avLst/>
                    </a:prstGeom>
                  </pic:spPr>
                </pic:pic>
              </a:graphicData>
            </a:graphic>
          </wp:inline>
        </w:drawing>
      </w:r>
    </w:p>
    <w:p>
      <w:pPr>
        <w:pStyle w:val="13"/>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1）户外活动主要场地包括人行道、广场、游憩场、停车场以及庭院，本项目中均定义为人行区。</w:t>
      </w:r>
    </w:p>
    <w:p>
      <w:pPr>
        <w:pStyle w:val="3"/>
        <w:ind w:firstLine="420"/>
        <w:rPr>
          <w:rFonts w:ascii="黑体" w:hAnsi="黑体" w:eastAsia="黑体"/>
          <w:szCs w:val="20"/>
          <w:lang w:val="en-US"/>
        </w:rPr>
      </w:pPr>
      <w:r>
        <w:rPr>
          <w:rFonts w:hint="eastAsia" w:ascii="黑体" w:hAnsi="黑体" w:eastAsia="黑体"/>
          <w:szCs w:val="20"/>
          <w:lang w:val="en-US"/>
        </w:rPr>
        <w:t>2）人行区和计算域内风速分布云图中图例上限均为计算域内实际风速最大值，图例上限也可按需求在软件中调整。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66" w:name="_Toc17657"/>
      <w:bookmarkStart w:id="67" w:name="_Toc509844753"/>
      <w:r>
        <w:rPr>
          <w:rFonts w:hint="eastAsia" w:cs="宋体"/>
          <w:lang w:val="en-GB"/>
        </w:rPr>
        <w:t>人行区域</w:t>
      </w:r>
      <w:r>
        <w:rPr>
          <w:rFonts w:hint="eastAsia"/>
        </w:rPr>
        <w:t>冬季工况风速/风速放大系数达标判定</w:t>
      </w:r>
      <w:bookmarkEnd w:id="66"/>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6378" w:type="dxa"/>
        <w:jc w:val="center"/>
        <w:tblInd w:w="0" w:type="dxa"/>
        <w:tblLayout w:type="fixed"/>
        <w:tblCellMar>
          <w:top w:w="0" w:type="dxa"/>
          <w:left w:w="108" w:type="dxa"/>
          <w:bottom w:w="0" w:type="dxa"/>
          <w:right w:w="108" w:type="dxa"/>
        </w:tblCellMar>
      </w:tblPr>
      <w:tblGrid>
        <w:gridCol w:w="1559"/>
        <w:gridCol w:w="1701"/>
        <w:gridCol w:w="1843"/>
        <w:gridCol w:w="1275"/>
      </w:tblGrid>
      <w:tr>
        <w:tblPrEx>
          <w:tblLayout w:type="fixed"/>
          <w:tblCellMar>
            <w:top w:w="0" w:type="dxa"/>
            <w:left w:w="108" w:type="dxa"/>
            <w:bottom w:w="0" w:type="dxa"/>
            <w:right w:w="108" w:type="dxa"/>
          </w:tblCellMar>
        </w:tblPrEx>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Layout w:type="fixed"/>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 xml:space="preserve">&lt;5m/s </w:t>
            </w:r>
            <w:r>
              <w:rPr>
                <w:rFonts w:hint="eastAsia" w:ascii="宋体" w:hAnsi="宋体" w:cs="宋体"/>
                <w:szCs w:val="21"/>
              </w:rPr>
              <w:t xml:space="preserve">或 </w:t>
            </w:r>
            <w:r>
              <w:rPr>
                <w:rFonts w:ascii="宋体" w:hAnsi="宋体" w:cs="宋体"/>
                <w:szCs w:val="21"/>
              </w:rPr>
              <w:t>&lt;2m/s</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68" w:name="冬季工况风速达标判断"/>
            <w:r>
              <w:rPr>
                <w:rFonts w:hint="eastAsia" w:ascii="宋体" w:hAnsi="宋体" w:cs="宋体"/>
                <w:color w:val="000000"/>
                <w:sz w:val="22"/>
                <w:szCs w:val="22"/>
                <w:lang w:val="en-US"/>
              </w:rPr>
              <w:t>是</w:t>
            </w:r>
          </w:p>
        </w:tc>
      </w:tr>
      <w:tr>
        <w:tblPrEx>
          <w:tblLayout w:type="fixed"/>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bl>
    <w:p>
      <w:pPr>
        <w:pStyle w:val="5"/>
      </w:pPr>
      <w:bookmarkStart w:id="69" w:name="_Toc19335"/>
      <w:r>
        <w:rPr>
          <w:rFonts w:hint="eastAsia"/>
        </w:rPr>
        <w:t>建筑迎风面和背风面风压分析</w:t>
      </w:r>
      <w:bookmarkEnd w:id="69"/>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noChangeArrowheads="1"/>
                    </pic:cNvPicPr>
                  </pic:nvPicPr>
                  <pic:blipFill>
                    <a:blip r:embed="rId71">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9288" w:type="dxa"/>
        <w:tblInd w:w="0" w:type="dxa"/>
        <w:tblLayout w:type="fixed"/>
        <w:tblCellMar>
          <w:top w:w="0" w:type="dxa"/>
          <w:left w:w="108" w:type="dxa"/>
          <w:bottom w:w="0" w:type="dxa"/>
          <w:right w:w="108" w:type="dxa"/>
        </w:tblCellMar>
      </w:tblPr>
      <w:tblGrid>
        <w:gridCol w:w="8188"/>
        <w:gridCol w:w="1100"/>
      </w:tblGrid>
      <w:tr>
        <w:tblPrEx>
          <w:tblLayout w:type="fixed"/>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r>
        <w:drawing>
          <wp:inline distT="0" distB="0" distL="0" distR="0">
            <wp:extent cx="5667375" cy="29718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2"/>
                    <a:stretch>
                      <a:fillRect/>
                    </a:stretch>
                  </pic:blipFill>
                  <pic:spPr>
                    <a:xfrm>
                      <a:off x="0" y="0"/>
                      <a:ext cx="5667375" cy="29718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r>
        <w:drawing>
          <wp:inline distT="0" distB="0" distL="0" distR="0">
            <wp:extent cx="5667375" cy="29908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3"/>
                    <a:stretch>
                      <a:fillRect/>
                    </a:stretch>
                  </pic:blipFill>
                  <pic:spPr>
                    <a:xfrm>
                      <a:off x="0" y="0"/>
                      <a:ext cx="5667375" cy="29908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-A1(1#教学楼模型_T8)</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3.90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3.98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-2.73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6.71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2.19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-2.99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5.18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1.15</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-2.97</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4.12</w:t>
            </w:r>
          </w:p>
        </w:tc>
      </w:tr>
    </w:tbl>
    <w:p>
      <w:r>
        <w:t>结论：迎风第一排建筑，</w:t>
      </w:r>
      <w:r>
        <w:rPr>
          <w:b/>
          <w:color w:val="00FF00"/>
        </w:rPr>
        <w:t>标准未做要求</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3</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-A2(2#教学楼模型)</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0.63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2.38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-2.71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5.09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2.45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-3.23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5.68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1.94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-3.03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1.42</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-3.06</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4.48</w:t>
            </w:r>
          </w:p>
        </w:tc>
      </w:tr>
    </w:tbl>
    <w:p>
      <w:r>
        <w:t>结论：迎风第一排建筑，</w:t>
      </w:r>
      <w:r>
        <w:rPr>
          <w:b/>
          <w:color w:val="00FF00"/>
        </w:rPr>
        <w:t>标准未做要求</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4</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-A3(3#教学楼模型)</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0.79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-2.22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3.01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0.75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-2.54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-3.27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1.29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-3.54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4.83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1.01</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-2.90</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3.91</w:t>
            </w:r>
          </w:p>
        </w:tc>
      </w:tr>
    </w:tbl>
    <w:p>
      <w:r>
        <w:t>结论：迎风第一排建筑，</w:t>
      </w:r>
      <w:r>
        <w:rPr>
          <w:b/>
          <w:color w:val="00FF00"/>
        </w:rPr>
        <w:t>标准未做要求</w:t>
      </w:r>
      <w:r>
        <w:t>。</w:t>
      </w:r>
    </w:p>
    <w:p>
      <w:pPr>
        <w:jc w:val="center"/>
        <w:rPr>
          <w:rFonts w:ascii="Cambria" w:hAnsi="Cambria" w:eastAsia="黑体"/>
          <w:sz w:val="20"/>
        </w:rPr>
      </w:pPr>
    </w:p>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5</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077" w:type="dxa"/>
            <w:shd w:val="clear" w:color="auto" w:fill="E6E6E6"/>
            <w:vAlign w:val="center"/>
          </w:tcPr>
          <w:p>
            <w:pPr>
              <w:jc w:val="center"/>
              <w:rPr>
                <w:lang w:val="en-US"/>
              </w:rPr>
            </w:pPr>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12#KANTAI</w:t>
            </w:r>
          </w:p>
        </w:tc>
        <w:tc>
          <w:tcPr>
            <w:tcW w:w="1276" w:type="dxa"/>
            <w:shd w:val="clear" w:color="auto" w:fill="auto"/>
            <w:vAlign w:val="center"/>
          </w:tcPr>
          <w:p>
            <w:pPr>
              <w:jc w:val="center"/>
              <w:rPr>
                <w:lang w:val="en-US"/>
              </w:rPr>
            </w:pPr>
            <w:r>
              <w:rPr>
                <w:lang w:val="en-US"/>
              </w:rPr>
              <w:t>1.28</w:t>
            </w:r>
          </w:p>
        </w:tc>
        <w:tc>
          <w:tcPr>
            <w:tcW w:w="1276" w:type="dxa"/>
            <w:shd w:val="clear" w:color="auto" w:fill="auto"/>
            <w:vAlign w:val="center"/>
          </w:tcPr>
          <w:p>
            <w:pPr>
              <w:jc w:val="center"/>
              <w:rPr>
                <w:lang w:val="en-US"/>
              </w:rPr>
            </w:pPr>
            <w:r>
              <w:rPr>
                <w:lang w:val="en-US"/>
              </w:rPr>
              <w:t>0.28</w:t>
            </w:r>
          </w:p>
        </w:tc>
        <w:tc>
          <w:tcPr>
            <w:tcW w:w="1701" w:type="dxa"/>
            <w:shd w:val="clear" w:color="auto" w:fill="auto"/>
            <w:vAlign w:val="center"/>
          </w:tcPr>
          <w:p>
            <w:pPr>
              <w:jc w:val="center"/>
              <w:rPr>
                <w:lang w:val="en-US"/>
              </w:rPr>
            </w:pPr>
            <w:r>
              <w:rPr>
                <w:lang w:val="en-US"/>
              </w:rPr>
              <w:t>1.01</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A1(1#教学楼模型_T8)</w:t>
            </w:r>
          </w:p>
        </w:tc>
        <w:tc>
          <w:tcPr>
            <w:tcW w:w="1276" w:type="dxa"/>
            <w:shd w:val="clear" w:color="auto" w:fill="auto"/>
            <w:vAlign w:val="center"/>
          </w:tcPr>
          <w:p>
            <w:pPr>
              <w:jc w:val="center"/>
              <w:rPr>
                <w:lang w:val="en-US"/>
              </w:rPr>
            </w:pPr>
            <w:r>
              <w:rPr>
                <w:lang w:val="en-US"/>
              </w:rPr>
              <w:t>1.15</w:t>
            </w:r>
          </w:p>
        </w:tc>
        <w:tc>
          <w:tcPr>
            <w:tcW w:w="1276" w:type="dxa"/>
            <w:shd w:val="clear" w:color="auto" w:fill="auto"/>
            <w:vAlign w:val="center"/>
          </w:tcPr>
          <w:p>
            <w:pPr>
              <w:jc w:val="center"/>
              <w:rPr>
                <w:lang w:val="en-US"/>
              </w:rPr>
            </w:pPr>
            <w:r>
              <w:rPr>
                <w:lang w:val="en-US"/>
              </w:rPr>
              <w:t>-2.97</w:t>
            </w:r>
          </w:p>
        </w:tc>
        <w:tc>
          <w:tcPr>
            <w:tcW w:w="1701" w:type="dxa"/>
            <w:shd w:val="clear" w:color="auto" w:fill="auto"/>
            <w:vAlign w:val="center"/>
          </w:tcPr>
          <w:p>
            <w:pPr>
              <w:jc w:val="center"/>
              <w:rPr>
                <w:lang w:val="en-US"/>
              </w:rPr>
            </w:pPr>
            <w:r>
              <w:rPr>
                <w:lang w:val="en-US"/>
              </w:rPr>
              <w:t>4.12</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A2(2#教学楼模型)</w:t>
            </w:r>
          </w:p>
        </w:tc>
        <w:tc>
          <w:tcPr>
            <w:tcW w:w="1276" w:type="dxa"/>
            <w:shd w:val="clear" w:color="auto" w:fill="auto"/>
            <w:vAlign w:val="center"/>
          </w:tcPr>
          <w:p>
            <w:pPr>
              <w:jc w:val="center"/>
              <w:rPr>
                <w:lang w:val="en-US"/>
              </w:rPr>
            </w:pPr>
            <w:r>
              <w:rPr>
                <w:lang w:val="en-US"/>
              </w:rPr>
              <w:t>1.42</w:t>
            </w:r>
          </w:p>
        </w:tc>
        <w:tc>
          <w:tcPr>
            <w:tcW w:w="1276" w:type="dxa"/>
            <w:shd w:val="clear" w:color="auto" w:fill="auto"/>
            <w:vAlign w:val="center"/>
          </w:tcPr>
          <w:p>
            <w:pPr>
              <w:jc w:val="center"/>
              <w:rPr>
                <w:lang w:val="en-US"/>
              </w:rPr>
            </w:pPr>
            <w:r>
              <w:rPr>
                <w:lang w:val="en-US"/>
              </w:rPr>
              <w:t>-3.06</w:t>
            </w:r>
          </w:p>
        </w:tc>
        <w:tc>
          <w:tcPr>
            <w:tcW w:w="1701" w:type="dxa"/>
            <w:shd w:val="clear" w:color="auto" w:fill="auto"/>
            <w:vAlign w:val="center"/>
          </w:tcPr>
          <w:p>
            <w:pPr>
              <w:jc w:val="center"/>
              <w:rPr>
                <w:lang w:val="en-US"/>
              </w:rPr>
            </w:pPr>
            <w:r>
              <w:rPr>
                <w:lang w:val="en-US"/>
              </w:rPr>
              <w:t>4.48</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A3(3#教学楼模型)</w:t>
            </w:r>
          </w:p>
        </w:tc>
        <w:tc>
          <w:tcPr>
            <w:tcW w:w="1276" w:type="dxa"/>
            <w:shd w:val="clear" w:color="auto" w:fill="auto"/>
            <w:vAlign w:val="center"/>
          </w:tcPr>
          <w:p>
            <w:pPr>
              <w:jc w:val="center"/>
              <w:rPr>
                <w:lang w:val="en-US"/>
              </w:rPr>
            </w:pPr>
            <w:r>
              <w:rPr>
                <w:lang w:val="en-US"/>
              </w:rPr>
              <w:t>1.01</w:t>
            </w:r>
          </w:p>
        </w:tc>
        <w:tc>
          <w:tcPr>
            <w:tcW w:w="1276" w:type="dxa"/>
            <w:shd w:val="clear" w:color="auto" w:fill="auto"/>
            <w:vAlign w:val="center"/>
          </w:tcPr>
          <w:p>
            <w:pPr>
              <w:jc w:val="center"/>
              <w:rPr>
                <w:lang w:val="en-US"/>
              </w:rPr>
            </w:pPr>
            <w:r>
              <w:rPr>
                <w:lang w:val="en-US"/>
              </w:rPr>
              <w:t>-2.90</w:t>
            </w:r>
          </w:p>
        </w:tc>
        <w:tc>
          <w:tcPr>
            <w:tcW w:w="1701" w:type="dxa"/>
            <w:shd w:val="clear" w:color="auto" w:fill="auto"/>
            <w:vAlign w:val="center"/>
          </w:tcPr>
          <w:p>
            <w:pPr>
              <w:jc w:val="center"/>
              <w:rPr>
                <w:lang w:val="en-US"/>
              </w:rPr>
            </w:pPr>
            <w:r>
              <w:rPr>
                <w:lang w:val="en-US"/>
              </w:rPr>
              <w:t>3.91</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077" w:type="dxa"/>
            <w:shd w:val="clear" w:color="auto" w:fill="auto"/>
            <w:vAlign w:val="center"/>
          </w:tcPr>
          <w:p>
            <w:pPr>
              <w:jc w:val="center"/>
              <w:rPr>
                <w:lang w:val="en-US"/>
              </w:rPr>
            </w:pPr>
            <w:r>
              <w:rPr>
                <w:rFonts w:hint="eastAsia"/>
                <w:lang w:val="en-US" w:eastAsia="zh-CN"/>
              </w:rPr>
              <w:t>5#综合楼</w:t>
            </w:r>
            <w:r>
              <w:rPr>
                <w:lang w:val="en-US"/>
              </w:rPr>
              <w:t>(1BB5)</w:t>
            </w:r>
          </w:p>
        </w:tc>
        <w:tc>
          <w:tcPr>
            <w:tcW w:w="1276" w:type="dxa"/>
            <w:shd w:val="clear" w:color="auto" w:fill="auto"/>
            <w:vAlign w:val="center"/>
          </w:tcPr>
          <w:p>
            <w:pPr>
              <w:jc w:val="center"/>
              <w:rPr>
                <w:lang w:val="en-US"/>
              </w:rPr>
            </w:pPr>
            <w:r>
              <w:rPr>
                <w:lang w:val="en-US"/>
              </w:rPr>
              <w:t>-0.40</w:t>
            </w:r>
          </w:p>
        </w:tc>
        <w:tc>
          <w:tcPr>
            <w:tcW w:w="1276" w:type="dxa"/>
            <w:shd w:val="clear" w:color="auto" w:fill="auto"/>
            <w:vAlign w:val="center"/>
          </w:tcPr>
          <w:p>
            <w:pPr>
              <w:jc w:val="center"/>
              <w:rPr>
                <w:lang w:val="en-US"/>
              </w:rPr>
            </w:pPr>
            <w:r>
              <w:rPr>
                <w:lang w:val="en-US"/>
              </w:rPr>
              <w:t>-2.80</w:t>
            </w:r>
          </w:p>
        </w:tc>
        <w:tc>
          <w:tcPr>
            <w:tcW w:w="1701" w:type="dxa"/>
            <w:shd w:val="clear" w:color="auto" w:fill="auto"/>
            <w:vAlign w:val="center"/>
          </w:tcPr>
          <w:p>
            <w:pPr>
              <w:jc w:val="center"/>
              <w:rPr>
                <w:lang w:val="en-US"/>
              </w:rPr>
            </w:pPr>
            <w:r>
              <w:rPr>
                <w:lang w:val="en-US"/>
              </w:rPr>
              <w:t>2.40</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077" w:type="dxa"/>
            <w:shd w:val="clear" w:color="auto" w:fill="auto"/>
            <w:vAlign w:val="center"/>
          </w:tcPr>
          <w:p>
            <w:pPr>
              <w:jc w:val="center"/>
              <w:rPr>
                <w:lang w:val="en-US"/>
              </w:rPr>
            </w:pPr>
            <w:r>
              <w:rPr>
                <w:rFonts w:hint="eastAsia"/>
                <w:lang w:val="en-US" w:eastAsia="zh-CN"/>
              </w:rPr>
              <w:t>6#风雨操场</w:t>
            </w:r>
            <w:r>
              <w:rPr>
                <w:lang w:val="en-US"/>
              </w:rPr>
              <w:t>(1BC0)</w:t>
            </w:r>
          </w:p>
        </w:tc>
        <w:tc>
          <w:tcPr>
            <w:tcW w:w="1276" w:type="dxa"/>
            <w:shd w:val="clear" w:color="auto" w:fill="auto"/>
            <w:vAlign w:val="center"/>
          </w:tcPr>
          <w:p>
            <w:pPr>
              <w:jc w:val="center"/>
              <w:rPr>
                <w:lang w:val="en-US"/>
              </w:rPr>
            </w:pPr>
            <w:r>
              <w:rPr>
                <w:lang w:val="en-US"/>
              </w:rPr>
              <w:t>1.03</w:t>
            </w:r>
          </w:p>
        </w:tc>
        <w:tc>
          <w:tcPr>
            <w:tcW w:w="1276" w:type="dxa"/>
            <w:shd w:val="clear" w:color="auto" w:fill="auto"/>
            <w:vAlign w:val="center"/>
          </w:tcPr>
          <w:p>
            <w:pPr>
              <w:jc w:val="center"/>
              <w:rPr>
                <w:lang w:val="en-US"/>
              </w:rPr>
            </w:pPr>
            <w:r>
              <w:rPr>
                <w:lang w:val="en-US"/>
              </w:rPr>
              <w:t>-3.40</w:t>
            </w:r>
          </w:p>
        </w:tc>
        <w:tc>
          <w:tcPr>
            <w:tcW w:w="1701" w:type="dxa"/>
            <w:shd w:val="clear" w:color="auto" w:fill="auto"/>
            <w:vAlign w:val="center"/>
          </w:tcPr>
          <w:p>
            <w:pPr>
              <w:jc w:val="center"/>
              <w:rPr>
                <w:lang w:val="en-US"/>
              </w:rPr>
            </w:pPr>
            <w:r>
              <w:rPr>
                <w:lang w:val="en-US"/>
              </w:rPr>
              <w:t>4.43</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077" w:type="dxa"/>
            <w:shd w:val="clear" w:color="auto" w:fill="auto"/>
            <w:vAlign w:val="center"/>
          </w:tcPr>
          <w:p>
            <w:pPr>
              <w:jc w:val="center"/>
              <w:rPr>
                <w:lang w:val="en-US"/>
              </w:rPr>
            </w:pPr>
            <w:r>
              <w:rPr>
                <w:rFonts w:hint="eastAsia"/>
                <w:lang w:val="en-US" w:eastAsia="zh-CN"/>
              </w:rPr>
              <w:t>10#生态仓</w:t>
            </w:r>
            <w:r>
              <w:rPr>
                <w:lang w:val="en-US"/>
              </w:rPr>
              <w:t>(7871)</w:t>
            </w:r>
          </w:p>
        </w:tc>
        <w:tc>
          <w:tcPr>
            <w:tcW w:w="1276" w:type="dxa"/>
            <w:shd w:val="clear" w:color="auto" w:fill="auto"/>
            <w:vAlign w:val="center"/>
          </w:tcPr>
          <w:p>
            <w:pPr>
              <w:jc w:val="center"/>
              <w:rPr>
                <w:lang w:val="en-US"/>
              </w:rPr>
            </w:pPr>
            <w:r>
              <w:rPr>
                <w:lang w:val="en-US"/>
              </w:rPr>
              <w:t>2.01</w:t>
            </w:r>
          </w:p>
        </w:tc>
        <w:tc>
          <w:tcPr>
            <w:tcW w:w="1276" w:type="dxa"/>
            <w:shd w:val="clear" w:color="auto" w:fill="auto"/>
            <w:vAlign w:val="center"/>
          </w:tcPr>
          <w:p>
            <w:pPr>
              <w:jc w:val="center"/>
              <w:rPr>
                <w:lang w:val="en-US"/>
              </w:rPr>
            </w:pPr>
            <w:r>
              <w:rPr>
                <w:lang w:val="en-US"/>
              </w:rPr>
              <w:t>0.06</w:t>
            </w:r>
          </w:p>
        </w:tc>
        <w:tc>
          <w:tcPr>
            <w:tcW w:w="1701" w:type="dxa"/>
            <w:shd w:val="clear" w:color="auto" w:fill="auto"/>
            <w:vAlign w:val="center"/>
          </w:tcPr>
          <w:p>
            <w:pPr>
              <w:jc w:val="center"/>
              <w:rPr>
                <w:lang w:val="en-US"/>
              </w:rPr>
            </w:pPr>
            <w:r>
              <w:rPr>
                <w:lang w:val="en-US"/>
              </w:rPr>
              <w:t>1.95</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077" w:type="dxa"/>
            <w:shd w:val="clear" w:color="auto" w:fill="auto"/>
            <w:vAlign w:val="center"/>
          </w:tcPr>
          <w:p>
            <w:pPr>
              <w:jc w:val="center"/>
              <w:rPr>
                <w:lang w:val="en-US"/>
              </w:rPr>
            </w:pPr>
            <w:r>
              <w:rPr>
                <w:rFonts w:hint="eastAsia"/>
                <w:lang w:val="en-US" w:eastAsia="zh-CN"/>
              </w:rPr>
              <w:t>13#公厕</w:t>
            </w:r>
            <w:r>
              <w:rPr>
                <w:lang w:val="en-US"/>
              </w:rPr>
              <w:t>(78A6)</w:t>
            </w:r>
          </w:p>
        </w:tc>
        <w:tc>
          <w:tcPr>
            <w:tcW w:w="1276" w:type="dxa"/>
            <w:shd w:val="clear" w:color="auto" w:fill="auto"/>
            <w:vAlign w:val="center"/>
          </w:tcPr>
          <w:p>
            <w:pPr>
              <w:jc w:val="center"/>
              <w:rPr>
                <w:lang w:val="en-US"/>
              </w:rPr>
            </w:pPr>
            <w:r>
              <w:rPr>
                <w:lang w:val="en-US"/>
              </w:rPr>
              <w:t>1.27</w:t>
            </w:r>
          </w:p>
        </w:tc>
        <w:tc>
          <w:tcPr>
            <w:tcW w:w="1276" w:type="dxa"/>
            <w:shd w:val="clear" w:color="auto" w:fill="auto"/>
            <w:vAlign w:val="center"/>
          </w:tcPr>
          <w:p>
            <w:pPr>
              <w:jc w:val="center"/>
              <w:rPr>
                <w:lang w:val="en-US"/>
              </w:rPr>
            </w:pPr>
            <w:r>
              <w:rPr>
                <w:lang w:val="en-US"/>
              </w:rPr>
              <w:t>0.02</w:t>
            </w:r>
          </w:p>
        </w:tc>
        <w:tc>
          <w:tcPr>
            <w:tcW w:w="1701" w:type="dxa"/>
            <w:shd w:val="clear" w:color="auto" w:fill="auto"/>
            <w:vAlign w:val="center"/>
          </w:tcPr>
          <w:p>
            <w:pPr>
              <w:jc w:val="center"/>
              <w:rPr>
                <w:lang w:val="en-US"/>
              </w:rPr>
            </w:pPr>
            <w:r>
              <w:rPr>
                <w:lang w:val="en-US"/>
              </w:rPr>
              <w:t>1.25</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077" w:type="dxa"/>
            <w:shd w:val="clear" w:color="auto" w:fill="auto"/>
            <w:vAlign w:val="center"/>
          </w:tcPr>
          <w:p>
            <w:pPr>
              <w:jc w:val="center"/>
              <w:rPr>
                <w:lang w:val="en-US"/>
              </w:rPr>
            </w:pPr>
            <w:r>
              <w:rPr>
                <w:rFonts w:hint="eastAsia"/>
                <w:lang w:val="en-US" w:eastAsia="zh-CN"/>
              </w:rPr>
              <w:t>8-3#门卫</w:t>
            </w:r>
            <w:r>
              <w:rPr>
                <w:lang w:val="en-US"/>
              </w:rPr>
              <w:t>(78AD)</w:t>
            </w:r>
          </w:p>
        </w:tc>
        <w:tc>
          <w:tcPr>
            <w:tcW w:w="1276" w:type="dxa"/>
            <w:shd w:val="clear" w:color="auto" w:fill="auto"/>
            <w:vAlign w:val="center"/>
          </w:tcPr>
          <w:p>
            <w:pPr>
              <w:jc w:val="center"/>
              <w:rPr>
                <w:lang w:val="en-US"/>
              </w:rPr>
            </w:pPr>
            <w:r>
              <w:rPr>
                <w:lang w:val="en-US"/>
              </w:rPr>
              <w:t>2.10</w:t>
            </w:r>
          </w:p>
        </w:tc>
        <w:tc>
          <w:tcPr>
            <w:tcW w:w="1276" w:type="dxa"/>
            <w:shd w:val="clear" w:color="auto" w:fill="auto"/>
            <w:vAlign w:val="center"/>
          </w:tcPr>
          <w:p>
            <w:pPr>
              <w:jc w:val="center"/>
              <w:rPr>
                <w:lang w:val="en-US"/>
              </w:rPr>
            </w:pPr>
            <w:r>
              <w:rPr>
                <w:lang w:val="en-US"/>
              </w:rPr>
              <w:t>1.88</w:t>
            </w:r>
          </w:p>
        </w:tc>
        <w:tc>
          <w:tcPr>
            <w:tcW w:w="1701" w:type="dxa"/>
            <w:shd w:val="clear" w:color="auto" w:fill="auto"/>
            <w:vAlign w:val="center"/>
          </w:tcPr>
          <w:p>
            <w:pPr>
              <w:jc w:val="center"/>
              <w:rPr>
                <w:lang w:val="en-US"/>
              </w:rPr>
            </w:pPr>
            <w:r>
              <w:rPr>
                <w:lang w:val="en-US"/>
              </w:rPr>
              <w:t>0.22</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8-1#MENW</w:t>
            </w:r>
          </w:p>
        </w:tc>
        <w:tc>
          <w:tcPr>
            <w:tcW w:w="1276" w:type="dxa"/>
            <w:shd w:val="clear" w:color="auto" w:fill="auto"/>
            <w:vAlign w:val="center"/>
          </w:tcPr>
          <w:p>
            <w:pPr>
              <w:jc w:val="center"/>
              <w:rPr>
                <w:lang w:val="en-US"/>
              </w:rPr>
            </w:pPr>
            <w:r>
              <w:rPr>
                <w:lang w:val="en-US"/>
              </w:rPr>
              <w:t>-0.91</w:t>
            </w:r>
          </w:p>
        </w:tc>
        <w:tc>
          <w:tcPr>
            <w:tcW w:w="1276" w:type="dxa"/>
            <w:shd w:val="clear" w:color="auto" w:fill="auto"/>
            <w:vAlign w:val="center"/>
          </w:tcPr>
          <w:p>
            <w:pPr>
              <w:jc w:val="center"/>
              <w:rPr>
                <w:lang w:val="en-US"/>
              </w:rPr>
            </w:pPr>
            <w:r>
              <w:rPr>
                <w:lang w:val="en-US"/>
              </w:rPr>
              <w:t>-1.27</w:t>
            </w:r>
          </w:p>
        </w:tc>
        <w:tc>
          <w:tcPr>
            <w:tcW w:w="1701" w:type="dxa"/>
            <w:shd w:val="clear" w:color="auto" w:fill="auto"/>
            <w:vAlign w:val="center"/>
          </w:tcPr>
          <w:p>
            <w:pPr>
              <w:jc w:val="center"/>
              <w:rPr>
                <w:lang w:val="en-US"/>
              </w:rPr>
            </w:pPr>
            <w:r>
              <w:rPr>
                <w:lang w:val="en-US"/>
              </w:rPr>
              <w:t>0.35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077" w:type="dxa"/>
            <w:shd w:val="clear" w:color="auto" w:fill="auto"/>
            <w:vAlign w:val="center"/>
          </w:tcPr>
          <w:p>
            <w:pPr>
              <w:jc w:val="center"/>
              <w:rPr>
                <w:lang w:val="en-US"/>
              </w:rPr>
            </w:pPr>
            <w:r>
              <w:rPr>
                <w:rFonts w:hint="eastAsia"/>
                <w:lang w:val="en-US" w:eastAsia="zh-CN"/>
              </w:rPr>
              <w:t>4#报告厅+餐厅</w:t>
            </w:r>
            <w:r>
              <w:rPr>
                <w:lang w:val="en-US"/>
              </w:rPr>
              <w:t>(1BBB)</w:t>
            </w:r>
          </w:p>
        </w:tc>
        <w:tc>
          <w:tcPr>
            <w:tcW w:w="1276" w:type="dxa"/>
            <w:shd w:val="clear" w:color="auto" w:fill="auto"/>
            <w:vAlign w:val="center"/>
          </w:tcPr>
          <w:p>
            <w:pPr>
              <w:jc w:val="center"/>
              <w:rPr>
                <w:lang w:val="en-US"/>
              </w:rPr>
            </w:pPr>
            <w:r>
              <w:rPr>
                <w:lang w:val="en-US"/>
              </w:rPr>
              <w:t>-1.38</w:t>
            </w:r>
          </w:p>
        </w:tc>
        <w:tc>
          <w:tcPr>
            <w:tcW w:w="1276" w:type="dxa"/>
            <w:shd w:val="clear" w:color="auto" w:fill="auto"/>
            <w:vAlign w:val="center"/>
          </w:tcPr>
          <w:p>
            <w:pPr>
              <w:jc w:val="center"/>
              <w:rPr>
                <w:lang w:val="en-US"/>
              </w:rPr>
            </w:pPr>
            <w:r>
              <w:rPr>
                <w:lang w:val="en-US"/>
              </w:rPr>
              <w:t>-1.61</w:t>
            </w:r>
          </w:p>
        </w:tc>
        <w:tc>
          <w:tcPr>
            <w:tcW w:w="1701" w:type="dxa"/>
            <w:shd w:val="clear" w:color="auto" w:fill="auto"/>
            <w:vAlign w:val="center"/>
          </w:tcPr>
          <w:p>
            <w:pPr>
              <w:jc w:val="center"/>
              <w:rPr>
                <w:lang w:val="en-US"/>
              </w:rPr>
            </w:pPr>
            <w:r>
              <w:rPr>
                <w:lang w:val="en-US"/>
              </w:rPr>
              <w:t>0.23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077" w:type="dxa"/>
            <w:shd w:val="clear" w:color="auto" w:fill="auto"/>
            <w:vAlign w:val="center"/>
          </w:tcPr>
          <w:p>
            <w:pPr>
              <w:jc w:val="center"/>
              <w:rPr>
                <w:lang w:val="en-US"/>
              </w:rPr>
            </w:pPr>
            <w:r>
              <w:rPr>
                <w:rFonts w:hint="eastAsia"/>
                <w:lang w:val="en-US" w:eastAsia="zh-CN"/>
              </w:rPr>
              <w:t>7#天文台</w:t>
            </w:r>
            <w:r>
              <w:rPr>
                <w:lang w:val="en-US"/>
              </w:rPr>
              <w:t>(78A9)</w:t>
            </w:r>
          </w:p>
        </w:tc>
        <w:tc>
          <w:tcPr>
            <w:tcW w:w="1276" w:type="dxa"/>
            <w:shd w:val="clear" w:color="auto" w:fill="auto"/>
            <w:vAlign w:val="center"/>
          </w:tcPr>
          <w:p>
            <w:pPr>
              <w:jc w:val="center"/>
              <w:rPr>
                <w:lang w:val="en-US"/>
              </w:rPr>
            </w:pPr>
            <w:r>
              <w:rPr>
                <w:lang w:val="en-US"/>
              </w:rPr>
              <w:t>-1.55</w:t>
            </w:r>
          </w:p>
        </w:tc>
        <w:tc>
          <w:tcPr>
            <w:tcW w:w="1276" w:type="dxa"/>
            <w:shd w:val="clear" w:color="auto" w:fill="auto"/>
            <w:vAlign w:val="center"/>
          </w:tcPr>
          <w:p>
            <w:pPr>
              <w:jc w:val="center"/>
              <w:rPr>
                <w:lang w:val="en-US"/>
              </w:rPr>
            </w:pPr>
            <w:r>
              <w:rPr>
                <w:lang w:val="en-US"/>
              </w:rPr>
              <w:t>-1.73</w:t>
            </w:r>
          </w:p>
        </w:tc>
        <w:tc>
          <w:tcPr>
            <w:tcW w:w="1701" w:type="dxa"/>
            <w:shd w:val="clear" w:color="auto" w:fill="auto"/>
            <w:vAlign w:val="center"/>
          </w:tcPr>
          <w:p>
            <w:pPr>
              <w:jc w:val="center"/>
              <w:rPr>
                <w:lang w:val="en-US"/>
              </w:rPr>
            </w:pPr>
            <w:r>
              <w:rPr>
                <w:lang w:val="en-US"/>
              </w:rPr>
              <w:t>0.18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077" w:type="dxa"/>
            <w:shd w:val="clear" w:color="auto" w:fill="auto"/>
            <w:vAlign w:val="center"/>
          </w:tcPr>
          <w:p>
            <w:pPr>
              <w:jc w:val="center"/>
              <w:rPr>
                <w:lang w:val="en-US"/>
              </w:rPr>
            </w:pPr>
            <w:r>
              <w:rPr>
                <w:rFonts w:hint="eastAsia"/>
                <w:lang w:val="en-US" w:eastAsia="zh-CN"/>
              </w:rPr>
              <w:t>8-2#门卫</w:t>
            </w:r>
            <w:r>
              <w:rPr>
                <w:lang w:val="en-US"/>
              </w:rPr>
              <w:t>(78B1)</w:t>
            </w:r>
          </w:p>
        </w:tc>
        <w:tc>
          <w:tcPr>
            <w:tcW w:w="1276" w:type="dxa"/>
            <w:shd w:val="clear" w:color="auto" w:fill="auto"/>
            <w:vAlign w:val="center"/>
          </w:tcPr>
          <w:p>
            <w:pPr>
              <w:jc w:val="center"/>
              <w:rPr>
                <w:lang w:val="en-US"/>
              </w:rPr>
            </w:pPr>
            <w:r>
              <w:rPr>
                <w:lang w:val="en-US"/>
              </w:rPr>
              <w:t>-2.53</w:t>
            </w:r>
          </w:p>
        </w:tc>
        <w:tc>
          <w:tcPr>
            <w:tcW w:w="1276" w:type="dxa"/>
            <w:shd w:val="clear" w:color="auto" w:fill="auto"/>
            <w:vAlign w:val="center"/>
          </w:tcPr>
          <w:p>
            <w:pPr>
              <w:jc w:val="center"/>
              <w:rPr>
                <w:lang w:val="en-US"/>
              </w:rPr>
            </w:pPr>
            <w:r>
              <w:rPr>
                <w:lang w:val="en-US"/>
              </w:rPr>
              <w:t>-3.09</w:t>
            </w:r>
          </w:p>
        </w:tc>
        <w:tc>
          <w:tcPr>
            <w:tcW w:w="1701" w:type="dxa"/>
            <w:shd w:val="clear" w:color="auto" w:fill="auto"/>
            <w:vAlign w:val="center"/>
          </w:tcPr>
          <w:p>
            <w:pPr>
              <w:jc w:val="center"/>
              <w:rPr>
                <w:lang w:val="en-US"/>
              </w:rPr>
            </w:pPr>
            <w:r>
              <w:rPr>
                <w:lang w:val="en-US"/>
              </w:rPr>
              <w:t>0.56</w:t>
            </w:r>
          </w:p>
        </w:tc>
        <w:tc>
          <w:tcPr>
            <w:tcW w:w="973" w:type="dxa"/>
            <w:shd w:val="clear" w:color="auto" w:fill="auto"/>
            <w:vAlign w:val="center"/>
          </w:tcPr>
          <w:p>
            <w:pPr>
              <w:jc w:val="center"/>
              <w:rPr>
                <w:lang w:val="en-US"/>
              </w:rPr>
            </w:pPr>
            <w:r>
              <w:rPr>
                <w:lang w:val="en-US"/>
              </w:rPr>
              <w:t>是</w:t>
            </w:r>
          </w:p>
        </w:tc>
      </w:tr>
    </w:tbl>
    <w:p>
      <w:pPr>
        <w:rPr>
          <w:lang w:val="en-US"/>
        </w:rPr>
      </w:pPr>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70" w:name="冬季工况"/>
      <w:bookmarkEnd w:id="70"/>
      <w:r>
        <w:rPr>
          <w:rFonts w:hint="eastAsia"/>
          <w:lang w:val="en-US"/>
        </w:rPr>
        <w:t xml:space="preserve"> </w:t>
      </w:r>
    </w:p>
    <w:p>
      <w:pPr>
        <w:pStyle w:val="4"/>
      </w:pPr>
      <w:bookmarkStart w:id="71" w:name="_Toc23519"/>
      <w:r>
        <w:rPr>
          <w:rFonts w:hint="eastAsia"/>
        </w:rPr>
        <w:t>夏季工况</w:t>
      </w:r>
      <w:bookmarkEnd w:id="71"/>
    </w:p>
    <w:p>
      <w:pPr>
        <w:pStyle w:val="3"/>
        <w:ind w:firstLine="420"/>
      </w:pPr>
      <w:r>
        <w:rPr>
          <w:rFonts w:hint="eastAsia"/>
          <w:lang w:val="en-US"/>
        </w:rPr>
        <w:t>本项目夏季工况的入口边界风速为2.20m/s，风向为</w:t>
      </w:r>
      <w:r>
        <w:t>SW</w:t>
      </w:r>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72" w:name="_Toc28161"/>
      <w:r>
        <w:rPr>
          <w:rFonts w:hint="eastAsia"/>
        </w:rPr>
        <w:t>无风区计算分析</w:t>
      </w:r>
      <w:bookmarkEnd w:id="72"/>
    </w:p>
    <w:p>
      <w:pPr>
        <w:pStyle w:val="3"/>
        <w:tabs>
          <w:tab w:val="left" w:pos="426"/>
        </w:tabs>
        <w:ind w:firstLine="420"/>
      </w:pPr>
      <w:r>
        <w:rPr>
          <w:rFonts w:hint="eastAsia"/>
        </w:rPr>
        <w:t>下图为整个计算域内风速分布云图，参考图中速度分布可以对项目中建筑布局进行优化。分析下图，</w:t>
      </w:r>
      <w:r>
        <w:t>黑色等值线</w:t>
      </w:r>
      <w:r>
        <w:rPr>
          <w:color w:val="FF0000"/>
        </w:rPr>
        <w:t>标示出了</w:t>
      </w:r>
      <w:r>
        <w:t>人行区内风速小于0.2m/s的超限区域，因此</w:t>
      </w:r>
      <w:r>
        <w:rPr>
          <w:color w:val="FF0000"/>
        </w:rPr>
        <w:t>未满足</w:t>
      </w:r>
      <w:r>
        <w:t>绿标要求，需调整建筑布局优化区域内风速分布。</w:t>
      </w:r>
    </w:p>
    <w:p>
      <w:pPr>
        <w:pStyle w:val="3"/>
        <w:spacing w:after="156" w:afterLines="50"/>
        <w:ind w:firstLine="0" w:firstLineChars="0"/>
        <w:jc w:val="center"/>
      </w:pPr>
      <w:r>
        <w:drawing>
          <wp:inline distT="0" distB="0" distL="0" distR="0">
            <wp:extent cx="5667375" cy="28670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4"/>
                    <a:stretch>
                      <a:fillRect/>
                    </a:stretch>
                  </pic:blipFill>
                  <pic:spPr>
                    <a:xfrm>
                      <a:off x="0" y="0"/>
                      <a:ext cx="5667375" cy="28670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计算域内-1.5米高度水平面风速云图-夏季</w:t>
      </w:r>
    </w:p>
    <w:p>
      <w:pPr>
        <w:pStyle w:val="5"/>
      </w:pPr>
      <w:bookmarkStart w:id="73" w:name="_Toc8331"/>
      <w:r>
        <w:rPr>
          <w:rFonts w:hint="eastAsia"/>
        </w:rPr>
        <w:t>旋涡区分析</w:t>
      </w:r>
      <w:bookmarkEnd w:id="73"/>
    </w:p>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r>
        <w:drawing>
          <wp:inline distT="0" distB="0" distL="0" distR="0">
            <wp:extent cx="5667375" cy="30099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5"/>
                    <a:stretch>
                      <a:fillRect/>
                    </a:stretch>
                  </pic:blipFill>
                  <pic:spPr>
                    <a:xfrm>
                      <a:off x="0" y="0"/>
                      <a:ext cx="5667375" cy="3009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74" w:name="_Toc30407"/>
      <w:r>
        <w:rPr>
          <w:rFonts w:hint="eastAsia"/>
        </w:rPr>
        <w:t>人行区域旋涡区/无风区达标判定</w:t>
      </w:r>
      <w:bookmarkEnd w:id="74"/>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夏季无风区/旋涡区达标分析汇总</w:t>
      </w:r>
    </w:p>
    <w:tbl>
      <w:tblPr>
        <w:tblStyle w:val="21"/>
        <w:tblW w:w="6662" w:type="dxa"/>
        <w:tblInd w:w="1526" w:type="dxa"/>
        <w:tblLayout w:type="fixed"/>
        <w:tblCellMar>
          <w:top w:w="0" w:type="dxa"/>
          <w:left w:w="108" w:type="dxa"/>
          <w:bottom w:w="0" w:type="dxa"/>
          <w:right w:w="108" w:type="dxa"/>
        </w:tblCellMar>
      </w:tblPr>
      <w:tblGrid>
        <w:gridCol w:w="1134"/>
        <w:gridCol w:w="1701"/>
        <w:gridCol w:w="2551"/>
        <w:gridCol w:w="1276"/>
      </w:tblGrid>
      <w:tr>
        <w:tblPrEx>
          <w:tblLayout w:type="fixed"/>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Layout w:type="fixed"/>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p>
        </w:tc>
      </w:tr>
      <w:tr>
        <w:tblPrEx>
          <w:tblLayout w:type="fixed"/>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75" w:name="_Toc28794"/>
      <w:r>
        <w:rPr>
          <w:rFonts w:hint="eastAsia"/>
        </w:rPr>
        <w:t>外窗内外表面风压差达标分析</w:t>
      </w:r>
      <w:bookmarkEnd w:id="75"/>
    </w:p>
    <w:p>
      <w:pPr>
        <w:pStyle w:val="3"/>
        <w:ind w:firstLine="420"/>
      </w:pPr>
      <w:r>
        <w:rPr>
          <w:rFonts w:hint="eastAsia"/>
          <w:lang w:val="en-US"/>
        </w:rPr>
        <w:t>分析《绿色建筑评价标准》，夏季为充分利用自然通风获得良好的室内风环境，要求50%以上可开启外窗室内外表面的风压差大于0.5Pa。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r>
        <w:drawing>
          <wp:inline distT="0" distB="0" distL="0" distR="0">
            <wp:extent cx="5667375" cy="29718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6"/>
                    <a:stretch>
                      <a:fillRect/>
                    </a:stretch>
                  </pic:blipFill>
                  <pic:spPr>
                    <a:xfrm>
                      <a:off x="0" y="0"/>
                      <a:ext cx="5667375" cy="29718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p>
    <w:p>
      <w:pPr>
        <w:pStyle w:val="13"/>
        <w:jc w:val="center"/>
      </w:pPr>
      <w:r>
        <w:drawing>
          <wp:inline distT="0" distB="0" distL="0" distR="0">
            <wp:extent cx="5667375" cy="29908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7"/>
                    <a:stretch>
                      <a:fillRect/>
                    </a:stretch>
                  </pic:blipFill>
                  <pic:spPr>
                    <a:xfrm>
                      <a:off x="0" y="0"/>
                      <a:ext cx="5667375" cy="29908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A1(1#教学楼模型_T8)</w:t>
            </w:r>
          </w:p>
        </w:tc>
        <w:tc>
          <w:tcPr>
            <w:tcW w:w="1134" w:type="dxa"/>
            <w:shd w:val="clear" w:color="auto" w:fill="auto"/>
            <w:vAlign w:val="center"/>
          </w:tcPr>
          <w:p>
            <w:pPr>
              <w:jc w:val="center"/>
              <w:rPr>
                <w:lang w:val="en-US"/>
              </w:rPr>
            </w:pPr>
            <w:r>
              <w:rPr>
                <w:lang w:val="en-US"/>
              </w:rPr>
              <w:t>185</w:t>
            </w:r>
          </w:p>
        </w:tc>
        <w:tc>
          <w:tcPr>
            <w:tcW w:w="1984" w:type="dxa"/>
            <w:shd w:val="clear" w:color="auto" w:fill="auto"/>
            <w:vAlign w:val="center"/>
          </w:tcPr>
          <w:p>
            <w:pPr>
              <w:jc w:val="center"/>
              <w:rPr>
                <w:lang w:val="en-US"/>
              </w:rPr>
            </w:pPr>
            <w:r>
              <w:rPr>
                <w:lang w:val="en-US"/>
              </w:rPr>
              <w:t>125</w:t>
            </w:r>
          </w:p>
        </w:tc>
        <w:tc>
          <w:tcPr>
            <w:tcW w:w="1116" w:type="dxa"/>
            <w:shd w:val="clear" w:color="auto" w:fill="auto"/>
            <w:vAlign w:val="center"/>
          </w:tcPr>
          <w:p>
            <w:pPr>
              <w:jc w:val="center"/>
              <w:rPr>
                <w:lang w:val="en-US"/>
              </w:rPr>
            </w:pPr>
            <w:r>
              <w:rPr>
                <w:lang w:val="en-US"/>
              </w:rPr>
              <w:t>67.57</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A2(2#教学楼模型)</w:t>
            </w:r>
          </w:p>
        </w:tc>
        <w:tc>
          <w:tcPr>
            <w:tcW w:w="1134" w:type="dxa"/>
            <w:shd w:val="clear" w:color="auto" w:fill="auto"/>
            <w:vAlign w:val="center"/>
          </w:tcPr>
          <w:p>
            <w:pPr>
              <w:jc w:val="center"/>
              <w:rPr>
                <w:lang w:val="en-US"/>
              </w:rPr>
            </w:pPr>
            <w:r>
              <w:rPr>
                <w:lang w:val="en-US"/>
              </w:rPr>
              <w:t>186</w:t>
            </w:r>
          </w:p>
        </w:tc>
        <w:tc>
          <w:tcPr>
            <w:tcW w:w="1984" w:type="dxa"/>
            <w:shd w:val="clear" w:color="auto" w:fill="auto"/>
            <w:vAlign w:val="center"/>
          </w:tcPr>
          <w:p>
            <w:pPr>
              <w:jc w:val="center"/>
              <w:rPr>
                <w:lang w:val="en-US"/>
              </w:rPr>
            </w:pPr>
            <w:r>
              <w:rPr>
                <w:lang w:val="en-US"/>
              </w:rPr>
              <w:t>109</w:t>
            </w:r>
          </w:p>
        </w:tc>
        <w:tc>
          <w:tcPr>
            <w:tcW w:w="1116" w:type="dxa"/>
            <w:shd w:val="clear" w:color="auto" w:fill="auto"/>
            <w:vAlign w:val="center"/>
          </w:tcPr>
          <w:p>
            <w:pPr>
              <w:jc w:val="center"/>
              <w:rPr>
                <w:lang w:val="en-US"/>
              </w:rPr>
            </w:pPr>
            <w:r>
              <w:rPr>
                <w:lang w:val="en-US"/>
              </w:rPr>
              <w:t>58.60</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A3(3#教学楼模型)</w:t>
            </w:r>
          </w:p>
        </w:tc>
        <w:tc>
          <w:tcPr>
            <w:tcW w:w="1134" w:type="dxa"/>
            <w:shd w:val="clear" w:color="auto" w:fill="auto"/>
            <w:vAlign w:val="center"/>
          </w:tcPr>
          <w:p>
            <w:pPr>
              <w:jc w:val="center"/>
              <w:rPr>
                <w:lang w:val="en-US"/>
              </w:rPr>
            </w:pPr>
            <w:r>
              <w:rPr>
                <w:lang w:val="en-US"/>
              </w:rPr>
              <w:t>223</w:t>
            </w:r>
          </w:p>
        </w:tc>
        <w:tc>
          <w:tcPr>
            <w:tcW w:w="1984" w:type="dxa"/>
            <w:shd w:val="clear" w:color="auto" w:fill="auto"/>
            <w:vAlign w:val="center"/>
          </w:tcPr>
          <w:p>
            <w:pPr>
              <w:jc w:val="center"/>
              <w:rPr>
                <w:lang w:val="en-US"/>
              </w:rPr>
            </w:pPr>
            <w:r>
              <w:rPr>
                <w:lang w:val="en-US"/>
              </w:rPr>
              <w:t>161</w:t>
            </w:r>
          </w:p>
        </w:tc>
        <w:tc>
          <w:tcPr>
            <w:tcW w:w="1116" w:type="dxa"/>
            <w:shd w:val="clear" w:color="auto" w:fill="auto"/>
            <w:vAlign w:val="center"/>
          </w:tcPr>
          <w:p>
            <w:pPr>
              <w:jc w:val="center"/>
              <w:rPr>
                <w:lang w:val="en-US"/>
              </w:rPr>
            </w:pPr>
            <w:r>
              <w:rPr>
                <w:lang w:val="en-US"/>
              </w:rPr>
              <w:t>72.20</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904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12#KANTAI</w:t>
            </w:r>
          </w:p>
        </w:tc>
        <w:tc>
          <w:tcPr>
            <w:tcW w:w="1417" w:type="dxa"/>
            <w:vAlign w:val="center"/>
          </w:tcPr>
          <w:p>
            <w:pPr>
              <w:spacing w:line="360" w:lineRule="exact"/>
              <w:jc w:val="center"/>
              <w:rPr>
                <w:lang w:val="en-US"/>
              </w:rPr>
            </w:pPr>
            <w:r>
              <w:rPr>
                <w:lang w:val="en-US"/>
              </w:rPr>
              <w:t>824.60</w:t>
            </w:r>
          </w:p>
        </w:tc>
        <w:tc>
          <w:tcPr>
            <w:tcW w:w="2552" w:type="dxa"/>
            <w:vAlign w:val="center"/>
          </w:tcPr>
          <w:p>
            <w:pPr>
              <w:spacing w:line="360" w:lineRule="exact"/>
              <w:jc w:val="center"/>
              <w:rPr>
                <w:lang w:val="en-US"/>
              </w:rPr>
            </w:pPr>
            <w:r>
              <w:rPr>
                <w:lang w:val="en-US"/>
              </w:rPr>
              <w:t>670.54</w:t>
            </w:r>
          </w:p>
        </w:tc>
        <w:tc>
          <w:tcPr>
            <w:tcW w:w="1134" w:type="dxa"/>
            <w:vAlign w:val="center"/>
          </w:tcPr>
          <w:p>
            <w:pPr>
              <w:spacing w:line="360" w:lineRule="exact"/>
              <w:jc w:val="center"/>
              <w:rPr>
                <w:lang w:val="en-US"/>
              </w:rPr>
            </w:pPr>
            <w:r>
              <w:rPr>
                <w:lang w:val="en-US"/>
              </w:rPr>
              <w:t>81.32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8-1#MENW</w:t>
            </w:r>
          </w:p>
        </w:tc>
        <w:tc>
          <w:tcPr>
            <w:tcW w:w="1417" w:type="dxa"/>
            <w:vAlign w:val="center"/>
          </w:tcPr>
          <w:p>
            <w:pPr>
              <w:spacing w:line="360" w:lineRule="exact"/>
              <w:jc w:val="center"/>
              <w:rPr>
                <w:lang w:val="en-US"/>
              </w:rPr>
            </w:pPr>
            <w:r>
              <w:rPr>
                <w:lang w:val="en-US"/>
              </w:rPr>
              <w:t>109.39</w:t>
            </w:r>
          </w:p>
        </w:tc>
        <w:tc>
          <w:tcPr>
            <w:tcW w:w="2552" w:type="dxa"/>
            <w:vAlign w:val="center"/>
          </w:tcPr>
          <w:p>
            <w:pPr>
              <w:spacing w:line="360" w:lineRule="exact"/>
              <w:jc w:val="center"/>
              <w:rPr>
                <w:lang w:val="en-US"/>
              </w:rPr>
            </w:pPr>
            <w:r>
              <w:rPr>
                <w:lang w:val="en-US"/>
              </w:rPr>
              <w:t>41.27</w:t>
            </w:r>
          </w:p>
        </w:tc>
        <w:tc>
          <w:tcPr>
            <w:tcW w:w="1134" w:type="dxa"/>
            <w:vAlign w:val="center"/>
          </w:tcPr>
          <w:p>
            <w:pPr>
              <w:spacing w:line="360" w:lineRule="exact"/>
              <w:jc w:val="center"/>
              <w:rPr>
                <w:lang w:val="en-US"/>
              </w:rPr>
            </w:pPr>
            <w:r>
              <w:rPr>
                <w:lang w:val="en-US"/>
              </w:rPr>
              <w:t>37.73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未命名(1BB5)</w:t>
            </w:r>
          </w:p>
        </w:tc>
        <w:tc>
          <w:tcPr>
            <w:tcW w:w="1417" w:type="dxa"/>
            <w:vAlign w:val="center"/>
          </w:tcPr>
          <w:p>
            <w:pPr>
              <w:spacing w:line="360" w:lineRule="exact"/>
              <w:jc w:val="center"/>
              <w:rPr>
                <w:lang w:val="en-US"/>
              </w:rPr>
            </w:pPr>
            <w:r>
              <w:rPr>
                <w:lang w:val="en-US"/>
              </w:rPr>
              <w:t>7963.51</w:t>
            </w:r>
          </w:p>
        </w:tc>
        <w:tc>
          <w:tcPr>
            <w:tcW w:w="2552" w:type="dxa"/>
            <w:vAlign w:val="center"/>
          </w:tcPr>
          <w:p>
            <w:pPr>
              <w:spacing w:line="360" w:lineRule="exact"/>
              <w:jc w:val="center"/>
              <w:rPr>
                <w:lang w:val="en-US"/>
              </w:rPr>
            </w:pPr>
            <w:r>
              <w:rPr>
                <w:lang w:val="en-US"/>
              </w:rPr>
              <w:t>6991.99</w:t>
            </w:r>
          </w:p>
        </w:tc>
        <w:tc>
          <w:tcPr>
            <w:tcW w:w="1134" w:type="dxa"/>
            <w:vAlign w:val="center"/>
          </w:tcPr>
          <w:p>
            <w:pPr>
              <w:spacing w:line="360" w:lineRule="exact"/>
              <w:jc w:val="center"/>
              <w:rPr>
                <w:lang w:val="en-US"/>
              </w:rPr>
            </w:pPr>
            <w:r>
              <w:rPr>
                <w:lang w:val="en-US"/>
              </w:rPr>
              <w:t>87.80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未命名(1BBB)</w:t>
            </w:r>
          </w:p>
        </w:tc>
        <w:tc>
          <w:tcPr>
            <w:tcW w:w="1417" w:type="dxa"/>
            <w:vAlign w:val="center"/>
          </w:tcPr>
          <w:p>
            <w:pPr>
              <w:spacing w:line="360" w:lineRule="exact"/>
              <w:jc w:val="center"/>
              <w:rPr>
                <w:lang w:val="en-US"/>
              </w:rPr>
            </w:pPr>
            <w:r>
              <w:rPr>
                <w:lang w:val="en-US"/>
              </w:rPr>
              <w:t>3322.98</w:t>
            </w:r>
          </w:p>
        </w:tc>
        <w:tc>
          <w:tcPr>
            <w:tcW w:w="2552" w:type="dxa"/>
            <w:vAlign w:val="center"/>
          </w:tcPr>
          <w:p>
            <w:pPr>
              <w:spacing w:line="360" w:lineRule="exact"/>
              <w:jc w:val="center"/>
              <w:rPr>
                <w:lang w:val="en-US"/>
              </w:rPr>
            </w:pPr>
            <w:r>
              <w:rPr>
                <w:lang w:val="en-US"/>
              </w:rPr>
              <w:t>1707.30</w:t>
            </w:r>
          </w:p>
        </w:tc>
        <w:tc>
          <w:tcPr>
            <w:tcW w:w="1134" w:type="dxa"/>
            <w:vAlign w:val="center"/>
          </w:tcPr>
          <w:p>
            <w:pPr>
              <w:spacing w:line="360" w:lineRule="exact"/>
              <w:jc w:val="center"/>
              <w:rPr>
                <w:lang w:val="en-US"/>
              </w:rPr>
            </w:pPr>
            <w:r>
              <w:rPr>
                <w:lang w:val="en-US"/>
              </w:rPr>
              <w:t>51.38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未命名(1BC0)</w:t>
            </w:r>
          </w:p>
        </w:tc>
        <w:tc>
          <w:tcPr>
            <w:tcW w:w="1417" w:type="dxa"/>
            <w:vAlign w:val="center"/>
          </w:tcPr>
          <w:p>
            <w:pPr>
              <w:spacing w:line="360" w:lineRule="exact"/>
              <w:jc w:val="center"/>
              <w:rPr>
                <w:lang w:val="en-US"/>
              </w:rPr>
            </w:pPr>
            <w:r>
              <w:rPr>
                <w:lang w:val="en-US"/>
              </w:rPr>
              <w:t>4312.16</w:t>
            </w:r>
          </w:p>
        </w:tc>
        <w:tc>
          <w:tcPr>
            <w:tcW w:w="2552" w:type="dxa"/>
            <w:vAlign w:val="center"/>
          </w:tcPr>
          <w:p>
            <w:pPr>
              <w:spacing w:line="360" w:lineRule="exact"/>
              <w:jc w:val="center"/>
              <w:rPr>
                <w:lang w:val="en-US"/>
              </w:rPr>
            </w:pPr>
            <w:r>
              <w:rPr>
                <w:lang w:val="en-US"/>
              </w:rPr>
              <w:t>3710.21</w:t>
            </w:r>
          </w:p>
        </w:tc>
        <w:tc>
          <w:tcPr>
            <w:tcW w:w="1134" w:type="dxa"/>
            <w:vAlign w:val="center"/>
          </w:tcPr>
          <w:p>
            <w:pPr>
              <w:spacing w:line="360" w:lineRule="exact"/>
              <w:jc w:val="center"/>
              <w:rPr>
                <w:lang w:val="en-US"/>
              </w:rPr>
            </w:pPr>
            <w:r>
              <w:rPr>
                <w:lang w:val="en-US"/>
              </w:rPr>
              <w:t>86.04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未命名(7871)</w:t>
            </w:r>
          </w:p>
        </w:tc>
        <w:tc>
          <w:tcPr>
            <w:tcW w:w="1417" w:type="dxa"/>
            <w:vAlign w:val="center"/>
          </w:tcPr>
          <w:p>
            <w:pPr>
              <w:spacing w:line="360" w:lineRule="exact"/>
              <w:jc w:val="center"/>
              <w:rPr>
                <w:lang w:val="en-US"/>
              </w:rPr>
            </w:pPr>
            <w:r>
              <w:rPr>
                <w:lang w:val="en-US"/>
              </w:rPr>
              <w:t>420.93</w:t>
            </w:r>
          </w:p>
        </w:tc>
        <w:tc>
          <w:tcPr>
            <w:tcW w:w="2552" w:type="dxa"/>
            <w:vAlign w:val="center"/>
          </w:tcPr>
          <w:p>
            <w:pPr>
              <w:spacing w:line="360" w:lineRule="exact"/>
              <w:jc w:val="center"/>
              <w:rPr>
                <w:lang w:val="en-US"/>
              </w:rPr>
            </w:pPr>
            <w:r>
              <w:rPr>
                <w:lang w:val="en-US"/>
              </w:rPr>
              <w:t>175.67</w:t>
            </w:r>
          </w:p>
        </w:tc>
        <w:tc>
          <w:tcPr>
            <w:tcW w:w="1134" w:type="dxa"/>
            <w:vAlign w:val="center"/>
          </w:tcPr>
          <w:p>
            <w:pPr>
              <w:spacing w:line="360" w:lineRule="exact"/>
              <w:jc w:val="center"/>
              <w:rPr>
                <w:lang w:val="en-US"/>
              </w:rPr>
            </w:pPr>
            <w:r>
              <w:rPr>
                <w:lang w:val="en-US"/>
              </w:rPr>
              <w:t>41.73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未命名(78A6)</w:t>
            </w:r>
          </w:p>
        </w:tc>
        <w:tc>
          <w:tcPr>
            <w:tcW w:w="1417" w:type="dxa"/>
            <w:vAlign w:val="center"/>
          </w:tcPr>
          <w:p>
            <w:pPr>
              <w:spacing w:line="360" w:lineRule="exact"/>
              <w:jc w:val="center"/>
              <w:rPr>
                <w:lang w:val="en-US"/>
              </w:rPr>
            </w:pPr>
            <w:r>
              <w:rPr>
                <w:lang w:val="en-US"/>
              </w:rPr>
              <w:t>235.38</w:t>
            </w:r>
          </w:p>
        </w:tc>
        <w:tc>
          <w:tcPr>
            <w:tcW w:w="2552" w:type="dxa"/>
            <w:vAlign w:val="center"/>
          </w:tcPr>
          <w:p>
            <w:pPr>
              <w:spacing w:line="360" w:lineRule="exact"/>
              <w:jc w:val="center"/>
              <w:rPr>
                <w:lang w:val="en-US"/>
              </w:rPr>
            </w:pPr>
            <w:r>
              <w:rPr>
                <w:lang w:val="en-US"/>
              </w:rPr>
              <w:t>97.13</w:t>
            </w:r>
          </w:p>
        </w:tc>
        <w:tc>
          <w:tcPr>
            <w:tcW w:w="1134" w:type="dxa"/>
            <w:vAlign w:val="center"/>
          </w:tcPr>
          <w:p>
            <w:pPr>
              <w:spacing w:line="360" w:lineRule="exact"/>
              <w:jc w:val="center"/>
              <w:rPr>
                <w:lang w:val="en-US"/>
              </w:rPr>
            </w:pPr>
            <w:r>
              <w:rPr>
                <w:lang w:val="en-US"/>
              </w:rPr>
              <w:t>41.26</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未命名(78A9)</w:t>
            </w:r>
          </w:p>
        </w:tc>
        <w:tc>
          <w:tcPr>
            <w:tcW w:w="1417" w:type="dxa"/>
            <w:vAlign w:val="center"/>
          </w:tcPr>
          <w:p>
            <w:pPr>
              <w:spacing w:line="360" w:lineRule="exact"/>
              <w:jc w:val="center"/>
              <w:rPr>
                <w:lang w:val="en-US"/>
              </w:rPr>
            </w:pPr>
            <w:r>
              <w:rPr>
                <w:lang w:val="en-US"/>
              </w:rPr>
              <w:t>835.01</w:t>
            </w:r>
          </w:p>
        </w:tc>
        <w:tc>
          <w:tcPr>
            <w:tcW w:w="2552" w:type="dxa"/>
            <w:vAlign w:val="center"/>
          </w:tcPr>
          <w:p>
            <w:pPr>
              <w:spacing w:line="360" w:lineRule="exact"/>
              <w:jc w:val="center"/>
              <w:rPr>
                <w:lang w:val="en-US"/>
              </w:rPr>
            </w:pPr>
            <w:r>
              <w:rPr>
                <w:lang w:val="en-US"/>
              </w:rPr>
              <w:t>381.11</w:t>
            </w:r>
          </w:p>
        </w:tc>
        <w:tc>
          <w:tcPr>
            <w:tcW w:w="1134" w:type="dxa"/>
            <w:vAlign w:val="center"/>
          </w:tcPr>
          <w:p>
            <w:pPr>
              <w:spacing w:line="360" w:lineRule="exact"/>
              <w:jc w:val="center"/>
              <w:rPr>
                <w:lang w:val="en-US"/>
              </w:rPr>
            </w:pPr>
            <w:r>
              <w:rPr>
                <w:lang w:val="en-US"/>
              </w:rPr>
              <w:t>45.64</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未命名(78AD)</w:t>
            </w:r>
          </w:p>
        </w:tc>
        <w:tc>
          <w:tcPr>
            <w:tcW w:w="1417" w:type="dxa"/>
            <w:vAlign w:val="center"/>
          </w:tcPr>
          <w:p>
            <w:pPr>
              <w:spacing w:line="360" w:lineRule="exact"/>
              <w:jc w:val="center"/>
              <w:rPr>
                <w:lang w:val="en-US"/>
              </w:rPr>
            </w:pPr>
            <w:r>
              <w:rPr>
                <w:lang w:val="en-US"/>
              </w:rPr>
              <w:t>110.87</w:t>
            </w:r>
          </w:p>
        </w:tc>
        <w:tc>
          <w:tcPr>
            <w:tcW w:w="2552" w:type="dxa"/>
            <w:vAlign w:val="center"/>
          </w:tcPr>
          <w:p>
            <w:pPr>
              <w:spacing w:line="360" w:lineRule="exact"/>
              <w:jc w:val="center"/>
              <w:rPr>
                <w:lang w:val="en-US"/>
              </w:rPr>
            </w:pPr>
            <w:r>
              <w:rPr>
                <w:lang w:val="en-US"/>
              </w:rPr>
              <w:t>92.01</w:t>
            </w:r>
          </w:p>
        </w:tc>
        <w:tc>
          <w:tcPr>
            <w:tcW w:w="1134" w:type="dxa"/>
            <w:vAlign w:val="center"/>
          </w:tcPr>
          <w:p>
            <w:pPr>
              <w:spacing w:line="360" w:lineRule="exact"/>
              <w:jc w:val="center"/>
              <w:rPr>
                <w:lang w:val="en-US"/>
              </w:rPr>
            </w:pPr>
            <w:r>
              <w:rPr>
                <w:lang w:val="en-US"/>
              </w:rPr>
              <w:t>82.99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未命名(78B1)</w:t>
            </w:r>
          </w:p>
        </w:tc>
        <w:tc>
          <w:tcPr>
            <w:tcW w:w="1417" w:type="dxa"/>
            <w:vAlign w:val="center"/>
          </w:tcPr>
          <w:p>
            <w:pPr>
              <w:spacing w:line="360" w:lineRule="exact"/>
              <w:jc w:val="center"/>
              <w:rPr>
                <w:lang w:val="en-US"/>
              </w:rPr>
            </w:pPr>
            <w:r>
              <w:rPr>
                <w:lang w:val="en-US"/>
              </w:rPr>
              <w:t>110.14</w:t>
            </w:r>
          </w:p>
        </w:tc>
        <w:tc>
          <w:tcPr>
            <w:tcW w:w="2552" w:type="dxa"/>
            <w:vAlign w:val="center"/>
          </w:tcPr>
          <w:p>
            <w:pPr>
              <w:spacing w:line="360" w:lineRule="exact"/>
              <w:jc w:val="center"/>
              <w:rPr>
                <w:lang w:val="en-US"/>
              </w:rPr>
            </w:pPr>
            <w:r>
              <w:rPr>
                <w:lang w:val="en-US"/>
              </w:rPr>
              <w:t>38.38</w:t>
            </w:r>
          </w:p>
        </w:tc>
        <w:tc>
          <w:tcPr>
            <w:tcW w:w="1134" w:type="dxa"/>
            <w:vAlign w:val="center"/>
          </w:tcPr>
          <w:p>
            <w:pPr>
              <w:spacing w:line="360" w:lineRule="exact"/>
              <w:jc w:val="center"/>
              <w:rPr>
                <w:lang w:val="en-US"/>
              </w:rPr>
            </w:pPr>
            <w:r>
              <w:rPr>
                <w:lang w:val="en-US"/>
              </w:rPr>
              <w:t>34.85</w:t>
            </w:r>
          </w:p>
        </w:tc>
        <w:tc>
          <w:tcPr>
            <w:tcW w:w="835" w:type="dxa"/>
            <w:vAlign w:val="center"/>
          </w:tcPr>
          <w:p>
            <w:pPr>
              <w:spacing w:line="360" w:lineRule="exact"/>
              <w:jc w:val="center"/>
              <w:rPr>
                <w:lang w:val="en-US"/>
              </w:rPr>
            </w:pPr>
            <w:r>
              <w:rPr>
                <w:lang w:val="en-US"/>
              </w:rPr>
              <w:t>否</w:t>
            </w:r>
          </w:p>
        </w:tc>
      </w:tr>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p>
    <w:p>
      <w:pPr>
        <w:rPr>
          <w:lang w:val="en-US"/>
        </w:rPr>
      </w:pPr>
      <w:r>
        <w:rPr>
          <w:rFonts w:hint="eastAsia"/>
          <w:lang w:val="en-US"/>
        </w:rPr>
        <w:t xml:space="preserve">结论：本项目中8-1#MENW、未命名(7871)、未命名(78A6)、未命名(78A9)、未命名(78B1)建筑未满足“50%以上可开启外窗室内外表面的风压差大于0.5Pa”的要求，该条不得分。 </w:t>
      </w:r>
    </w:p>
    <w:p>
      <w:pPr>
        <w:pStyle w:val="4"/>
      </w:pPr>
      <w:bookmarkStart w:id="76" w:name="_Toc31838"/>
      <w:r>
        <w:rPr>
          <w:rFonts w:hint="eastAsia"/>
        </w:rPr>
        <w:t>过渡季工况</w:t>
      </w:r>
      <w:bookmarkEnd w:id="76"/>
    </w:p>
    <w:p>
      <w:pPr>
        <w:pStyle w:val="3"/>
        <w:ind w:firstLine="420"/>
      </w:pPr>
      <w:r>
        <w:rPr>
          <w:rFonts w:hint="eastAsia"/>
          <w:lang w:val="en-US"/>
        </w:rPr>
        <w:t>本项目过渡季工况的入口边界风速为2.50m/s，风向为</w:t>
      </w:r>
      <w:r>
        <w:t>SW</w:t>
      </w:r>
      <w:r>
        <w:rPr>
          <w:rFonts w:hint="eastAsia"/>
          <w:lang w:val="en-US"/>
        </w:rPr>
        <w:t>。</w:t>
      </w:r>
    </w:p>
    <w:p>
      <w:pPr>
        <w:pStyle w:val="3"/>
        <w:ind w:firstLine="420"/>
      </w:pPr>
      <w:r>
        <w:rPr>
          <w:rFonts w:hint="eastAsia"/>
          <w:lang w:val="en-US"/>
        </w:rPr>
        <w:t>根据前述《绿色建筑评价标准》 对于夏季工况的要求，过渡季典型风速和风向条件下，场地内人活动区不出现涡旋或无风区。通过该项标准指导设计确保合理的建筑布局，在过渡季形成有效的巷道风，优化街区自然通风环境，避免过渡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77" w:name="_Toc25383"/>
      <w:r>
        <w:rPr>
          <w:rFonts w:hint="eastAsia"/>
        </w:rPr>
        <w:t>无风区计算分析</w:t>
      </w:r>
      <w:bookmarkEnd w:id="77"/>
    </w:p>
    <w:p>
      <w:pPr>
        <w:pStyle w:val="3"/>
        <w:tabs>
          <w:tab w:val="left" w:pos="426"/>
        </w:tabs>
        <w:ind w:firstLine="420"/>
      </w:pPr>
      <w:r>
        <w:rPr>
          <w:rFonts w:hint="eastAsia"/>
        </w:rPr>
        <w:t>下图为整个计算域内风速分布云图，参考图中速度分布可以对项目中建筑布局进行优化。分析下图，</w:t>
      </w:r>
      <w:r>
        <w:t>黑色等值线</w:t>
      </w:r>
      <w:r>
        <w:rPr>
          <w:color w:val="FF0000"/>
        </w:rPr>
        <w:t>标示出了</w:t>
      </w:r>
      <w:r>
        <w:t>人行区内风速小于0.2m/s的超限区域，因此</w:t>
      </w:r>
      <w:r>
        <w:rPr>
          <w:color w:val="FF0000"/>
        </w:rPr>
        <w:t>未满足</w:t>
      </w:r>
      <w:r>
        <w:t>绿标要求，需调整建筑布局优化区域内风速分布。</w:t>
      </w:r>
    </w:p>
    <w:p>
      <w:pPr>
        <w:pStyle w:val="3"/>
        <w:spacing w:after="156" w:afterLines="50"/>
        <w:ind w:firstLine="0" w:firstLineChars="0"/>
        <w:jc w:val="center"/>
      </w:pPr>
      <w:r>
        <w:drawing>
          <wp:inline distT="0" distB="0" distL="0" distR="0">
            <wp:extent cx="5667375" cy="2867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8"/>
                    <a:stretch>
                      <a:fillRect/>
                    </a:stretch>
                  </pic:blipFill>
                  <pic:spPr>
                    <a:xfrm>
                      <a:off x="0" y="0"/>
                      <a:ext cx="5667375" cy="28670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计算域内-1.5米高度水平面风速云图-过渡季</w:t>
      </w:r>
      <w:bookmarkEnd w:id="67"/>
    </w:p>
    <w:p>
      <w:pPr>
        <w:pStyle w:val="5"/>
      </w:pPr>
      <w:bookmarkStart w:id="78" w:name="_Toc28448"/>
      <w:r>
        <w:rPr>
          <w:rFonts w:hint="eastAsia"/>
        </w:rPr>
        <w:t>旋涡区分析</w:t>
      </w:r>
      <w:bookmarkEnd w:id="14"/>
      <w:bookmarkEnd w:id="78"/>
    </w:p>
    <w:bookmarkEnd w:id="68"/>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7"/>
    <w:p>
      <w:pPr>
        <w:pStyle w:val="3"/>
        <w:ind w:firstLine="0" w:firstLineChars="0"/>
        <w:jc w:val="center"/>
        <w:rPr>
          <w:lang w:val="en-US"/>
        </w:rPr>
      </w:pPr>
      <w:r>
        <w:drawing>
          <wp:inline distT="0" distB="0" distL="0" distR="0">
            <wp:extent cx="5667375" cy="30099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9"/>
                    <a:stretch>
                      <a:fillRect/>
                    </a:stretch>
                  </pic:blipFill>
                  <pic:spPr>
                    <a:xfrm>
                      <a:off x="0" y="0"/>
                      <a:ext cx="5667375" cy="3009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79" w:name="_Toc11049"/>
      <w:r>
        <w:rPr>
          <w:rFonts w:hint="eastAsia"/>
        </w:rPr>
        <w:t>人行区域旋涡区/无风区达标判定</w:t>
      </w:r>
      <w:bookmarkEnd w:id="19"/>
      <w:bookmarkEnd w:id="79"/>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20"/>
      <w:r>
        <w:rPr>
          <w:rFonts w:hint="eastAsia" w:ascii="黑体" w:hAnsi="黑体" w:eastAsia="黑体"/>
          <w:sz w:val="20"/>
          <w:szCs w:val="20"/>
        </w:rPr>
        <w:t>无风区/旋涡区达标分析汇总</w:t>
      </w:r>
    </w:p>
    <w:tbl>
      <w:tblPr>
        <w:tblStyle w:val="21"/>
        <w:tblW w:w="6662" w:type="dxa"/>
        <w:tblInd w:w="1526" w:type="dxa"/>
        <w:tblLayout w:type="fixed"/>
        <w:tblCellMar>
          <w:top w:w="0" w:type="dxa"/>
          <w:left w:w="108" w:type="dxa"/>
          <w:bottom w:w="0" w:type="dxa"/>
          <w:right w:w="108" w:type="dxa"/>
        </w:tblCellMar>
      </w:tblPr>
      <w:tblGrid>
        <w:gridCol w:w="1134"/>
        <w:gridCol w:w="1701"/>
        <w:gridCol w:w="2551"/>
        <w:gridCol w:w="1276"/>
      </w:tblGrid>
      <w:tr>
        <w:tblPrEx>
          <w:tblLayout w:type="fixed"/>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Layout w:type="fixed"/>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bookmarkEnd w:id="22"/>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bookmarkEnd w:id="23"/>
          </w:p>
        </w:tc>
      </w:tr>
      <w:tr>
        <w:tblPrEx>
          <w:tblLayout w:type="fixed"/>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80" w:name="_Toc13406"/>
      <w:r>
        <w:rPr>
          <w:rFonts w:hint="eastAsia"/>
        </w:rPr>
        <w:t>外窗内外表面风压</w:t>
      </w:r>
      <w:bookmarkEnd w:id="24"/>
      <w:r>
        <w:rPr>
          <w:rFonts w:hint="eastAsia"/>
        </w:rPr>
        <w:t>差达标分析</w:t>
      </w:r>
      <w:bookmarkEnd w:id="25"/>
      <w:bookmarkEnd w:id="80"/>
    </w:p>
    <w:p>
      <w:pPr>
        <w:pStyle w:val="3"/>
        <w:ind w:firstLine="420"/>
      </w:pPr>
      <w:r>
        <w:rPr>
          <w:rFonts w:hint="eastAsia"/>
          <w:lang w:val="en-US"/>
        </w:rPr>
        <w:t>分析《绿色建筑评价标准》，过渡季</w:t>
      </w:r>
      <w:bookmarkEnd w:id="28"/>
      <w:r>
        <w:rPr>
          <w:rFonts w:hint="eastAsia"/>
          <w:lang w:val="en-US"/>
        </w:rPr>
        <w:t>为充分利用自然通风获得良好的室内风环境，要求50%以上可开启外窗室内外表面的风压差大于0.5Pa</w:t>
      </w:r>
      <w:bookmarkEnd w:id="29"/>
      <w:r>
        <w:rPr>
          <w:rFonts w:hint="eastAsia"/>
          <w:lang w:val="en-US"/>
        </w:rPr>
        <w:t>。</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30"/>
    <w:p>
      <w:pPr>
        <w:pStyle w:val="3"/>
        <w:ind w:firstLine="0" w:firstLineChars="0"/>
        <w:jc w:val="center"/>
      </w:pPr>
      <w:r>
        <w:drawing>
          <wp:inline distT="0" distB="0" distL="0" distR="0">
            <wp:extent cx="5667375" cy="29718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0"/>
                    <a:stretch>
                      <a:fillRect/>
                    </a:stretch>
                  </pic:blipFill>
                  <pic:spPr>
                    <a:xfrm>
                      <a:off x="0" y="0"/>
                      <a:ext cx="5667375" cy="29718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35"/>
    </w:p>
    <w:bookmarkEnd w:id="37"/>
    <w:p>
      <w:pPr>
        <w:pStyle w:val="13"/>
        <w:jc w:val="center"/>
      </w:pPr>
      <w:r>
        <w:drawing>
          <wp:inline distT="0" distB="0" distL="0" distR="0">
            <wp:extent cx="5667375" cy="2990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1"/>
                    <a:stretch>
                      <a:fillRect/>
                    </a:stretch>
                  </pic:blipFill>
                  <pic:spPr>
                    <a:xfrm>
                      <a:off x="0" y="0"/>
                      <a:ext cx="5667375" cy="29908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38"/>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A1(1#教学楼模型_T8)</w:t>
            </w:r>
          </w:p>
        </w:tc>
        <w:tc>
          <w:tcPr>
            <w:tcW w:w="1134" w:type="dxa"/>
            <w:shd w:val="clear" w:color="auto" w:fill="auto"/>
            <w:vAlign w:val="center"/>
          </w:tcPr>
          <w:p>
            <w:pPr>
              <w:jc w:val="center"/>
              <w:rPr>
                <w:lang w:val="en-US"/>
              </w:rPr>
            </w:pPr>
            <w:r>
              <w:rPr>
                <w:lang w:val="en-US"/>
              </w:rPr>
              <w:t>185</w:t>
            </w:r>
          </w:p>
        </w:tc>
        <w:tc>
          <w:tcPr>
            <w:tcW w:w="1984" w:type="dxa"/>
            <w:shd w:val="clear" w:color="auto" w:fill="auto"/>
            <w:vAlign w:val="center"/>
          </w:tcPr>
          <w:p>
            <w:pPr>
              <w:jc w:val="center"/>
              <w:rPr>
                <w:lang w:val="en-US"/>
              </w:rPr>
            </w:pPr>
            <w:r>
              <w:rPr>
                <w:lang w:val="en-US"/>
              </w:rPr>
              <w:t>129</w:t>
            </w:r>
          </w:p>
        </w:tc>
        <w:tc>
          <w:tcPr>
            <w:tcW w:w="1116" w:type="dxa"/>
            <w:shd w:val="clear" w:color="auto" w:fill="auto"/>
            <w:vAlign w:val="center"/>
          </w:tcPr>
          <w:p>
            <w:pPr>
              <w:jc w:val="center"/>
              <w:rPr>
                <w:lang w:val="en-US"/>
              </w:rPr>
            </w:pPr>
            <w:r>
              <w:rPr>
                <w:lang w:val="en-US"/>
              </w:rPr>
              <w:t>69.73</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A2(2#教学楼模型)</w:t>
            </w:r>
          </w:p>
        </w:tc>
        <w:tc>
          <w:tcPr>
            <w:tcW w:w="1134" w:type="dxa"/>
            <w:shd w:val="clear" w:color="auto" w:fill="auto"/>
            <w:vAlign w:val="center"/>
          </w:tcPr>
          <w:p>
            <w:pPr>
              <w:jc w:val="center"/>
              <w:rPr>
                <w:lang w:val="en-US"/>
              </w:rPr>
            </w:pPr>
            <w:r>
              <w:rPr>
                <w:lang w:val="en-US"/>
              </w:rPr>
              <w:t>186</w:t>
            </w:r>
          </w:p>
        </w:tc>
        <w:tc>
          <w:tcPr>
            <w:tcW w:w="1984" w:type="dxa"/>
            <w:shd w:val="clear" w:color="auto" w:fill="auto"/>
            <w:vAlign w:val="center"/>
          </w:tcPr>
          <w:p>
            <w:pPr>
              <w:jc w:val="center"/>
              <w:rPr>
                <w:lang w:val="en-US"/>
              </w:rPr>
            </w:pPr>
            <w:r>
              <w:rPr>
                <w:lang w:val="en-US"/>
              </w:rPr>
              <w:t>132</w:t>
            </w:r>
          </w:p>
        </w:tc>
        <w:tc>
          <w:tcPr>
            <w:tcW w:w="1116" w:type="dxa"/>
            <w:shd w:val="clear" w:color="auto" w:fill="auto"/>
            <w:vAlign w:val="center"/>
          </w:tcPr>
          <w:p>
            <w:pPr>
              <w:jc w:val="center"/>
              <w:rPr>
                <w:lang w:val="en-US"/>
              </w:rPr>
            </w:pPr>
            <w:r>
              <w:rPr>
                <w:lang w:val="en-US"/>
              </w:rPr>
              <w:t>70.97</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A3(3#教学楼模型)</w:t>
            </w:r>
          </w:p>
        </w:tc>
        <w:tc>
          <w:tcPr>
            <w:tcW w:w="1134" w:type="dxa"/>
            <w:shd w:val="clear" w:color="auto" w:fill="auto"/>
            <w:vAlign w:val="center"/>
          </w:tcPr>
          <w:p>
            <w:pPr>
              <w:jc w:val="center"/>
              <w:rPr>
                <w:lang w:val="en-US"/>
              </w:rPr>
            </w:pPr>
            <w:r>
              <w:rPr>
                <w:lang w:val="en-US"/>
              </w:rPr>
              <w:t>223</w:t>
            </w:r>
          </w:p>
        </w:tc>
        <w:tc>
          <w:tcPr>
            <w:tcW w:w="1984" w:type="dxa"/>
            <w:shd w:val="clear" w:color="auto" w:fill="auto"/>
            <w:vAlign w:val="center"/>
          </w:tcPr>
          <w:p>
            <w:pPr>
              <w:jc w:val="center"/>
              <w:rPr>
                <w:lang w:val="en-US"/>
              </w:rPr>
            </w:pPr>
            <w:r>
              <w:rPr>
                <w:lang w:val="en-US"/>
              </w:rPr>
              <w:t>177</w:t>
            </w:r>
          </w:p>
        </w:tc>
        <w:tc>
          <w:tcPr>
            <w:tcW w:w="1116" w:type="dxa"/>
            <w:shd w:val="clear" w:color="auto" w:fill="auto"/>
            <w:vAlign w:val="center"/>
          </w:tcPr>
          <w:p>
            <w:pPr>
              <w:jc w:val="center"/>
              <w:rPr>
                <w:lang w:val="en-US"/>
              </w:rPr>
            </w:pPr>
            <w:r>
              <w:rPr>
                <w:lang w:val="en-US"/>
              </w:rPr>
              <w:t>79.37</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39"/>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904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12#KANTAI</w:t>
            </w:r>
          </w:p>
        </w:tc>
        <w:tc>
          <w:tcPr>
            <w:tcW w:w="1417" w:type="dxa"/>
            <w:vAlign w:val="center"/>
          </w:tcPr>
          <w:p>
            <w:pPr>
              <w:spacing w:line="360" w:lineRule="exact"/>
              <w:jc w:val="center"/>
              <w:rPr>
                <w:lang w:val="en-US"/>
              </w:rPr>
            </w:pPr>
            <w:r>
              <w:rPr>
                <w:lang w:val="en-US"/>
              </w:rPr>
              <w:t>824.60</w:t>
            </w:r>
          </w:p>
        </w:tc>
        <w:tc>
          <w:tcPr>
            <w:tcW w:w="2552" w:type="dxa"/>
            <w:vAlign w:val="center"/>
          </w:tcPr>
          <w:p>
            <w:pPr>
              <w:spacing w:line="360" w:lineRule="exact"/>
              <w:jc w:val="center"/>
              <w:rPr>
                <w:lang w:val="en-US"/>
              </w:rPr>
            </w:pPr>
            <w:r>
              <w:rPr>
                <w:lang w:val="en-US"/>
              </w:rPr>
              <w:t>706.70</w:t>
            </w:r>
          </w:p>
        </w:tc>
        <w:tc>
          <w:tcPr>
            <w:tcW w:w="1134" w:type="dxa"/>
            <w:vAlign w:val="center"/>
          </w:tcPr>
          <w:p>
            <w:pPr>
              <w:spacing w:line="360" w:lineRule="exact"/>
              <w:jc w:val="center"/>
              <w:rPr>
                <w:lang w:val="en-US"/>
              </w:rPr>
            </w:pPr>
            <w:r>
              <w:rPr>
                <w:lang w:val="en-US"/>
              </w:rPr>
              <w:t>85.70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8-1#MENW</w:t>
            </w:r>
          </w:p>
        </w:tc>
        <w:tc>
          <w:tcPr>
            <w:tcW w:w="1417" w:type="dxa"/>
            <w:vAlign w:val="center"/>
          </w:tcPr>
          <w:p>
            <w:pPr>
              <w:spacing w:line="360" w:lineRule="exact"/>
              <w:jc w:val="center"/>
              <w:rPr>
                <w:lang w:val="en-US"/>
              </w:rPr>
            </w:pPr>
            <w:r>
              <w:rPr>
                <w:lang w:val="en-US"/>
              </w:rPr>
              <w:t>109.39</w:t>
            </w:r>
          </w:p>
        </w:tc>
        <w:tc>
          <w:tcPr>
            <w:tcW w:w="2552" w:type="dxa"/>
            <w:vAlign w:val="center"/>
          </w:tcPr>
          <w:p>
            <w:pPr>
              <w:spacing w:line="360" w:lineRule="exact"/>
              <w:jc w:val="center"/>
              <w:rPr>
                <w:lang w:val="en-US"/>
              </w:rPr>
            </w:pPr>
            <w:r>
              <w:rPr>
                <w:lang w:val="en-US"/>
              </w:rPr>
              <w:t>70.70</w:t>
            </w:r>
          </w:p>
        </w:tc>
        <w:tc>
          <w:tcPr>
            <w:tcW w:w="1134" w:type="dxa"/>
            <w:vAlign w:val="center"/>
          </w:tcPr>
          <w:p>
            <w:pPr>
              <w:spacing w:line="360" w:lineRule="exact"/>
              <w:jc w:val="center"/>
              <w:rPr>
                <w:lang w:val="en-US"/>
              </w:rPr>
            </w:pPr>
            <w:r>
              <w:rPr>
                <w:lang w:val="en-US"/>
              </w:rPr>
              <w:t>64.63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未命名(1BB5)</w:t>
            </w:r>
          </w:p>
        </w:tc>
        <w:tc>
          <w:tcPr>
            <w:tcW w:w="1417" w:type="dxa"/>
            <w:vAlign w:val="center"/>
          </w:tcPr>
          <w:p>
            <w:pPr>
              <w:spacing w:line="360" w:lineRule="exact"/>
              <w:jc w:val="center"/>
              <w:rPr>
                <w:lang w:val="en-US"/>
              </w:rPr>
            </w:pPr>
            <w:r>
              <w:rPr>
                <w:lang w:val="en-US"/>
              </w:rPr>
              <w:t>7963.51</w:t>
            </w:r>
          </w:p>
        </w:tc>
        <w:tc>
          <w:tcPr>
            <w:tcW w:w="2552" w:type="dxa"/>
            <w:vAlign w:val="center"/>
          </w:tcPr>
          <w:p>
            <w:pPr>
              <w:spacing w:line="360" w:lineRule="exact"/>
              <w:jc w:val="center"/>
              <w:rPr>
                <w:lang w:val="en-US"/>
              </w:rPr>
            </w:pPr>
            <w:r>
              <w:rPr>
                <w:lang w:val="en-US"/>
              </w:rPr>
              <w:t>7312.47</w:t>
            </w:r>
          </w:p>
        </w:tc>
        <w:tc>
          <w:tcPr>
            <w:tcW w:w="1134" w:type="dxa"/>
            <w:vAlign w:val="center"/>
          </w:tcPr>
          <w:p>
            <w:pPr>
              <w:spacing w:line="360" w:lineRule="exact"/>
              <w:jc w:val="center"/>
              <w:rPr>
                <w:lang w:val="en-US"/>
              </w:rPr>
            </w:pPr>
            <w:r>
              <w:rPr>
                <w:lang w:val="en-US"/>
              </w:rPr>
              <w:t>91.82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未命名(1BBB)</w:t>
            </w:r>
          </w:p>
        </w:tc>
        <w:tc>
          <w:tcPr>
            <w:tcW w:w="1417" w:type="dxa"/>
            <w:vAlign w:val="center"/>
          </w:tcPr>
          <w:p>
            <w:pPr>
              <w:spacing w:line="360" w:lineRule="exact"/>
              <w:jc w:val="center"/>
              <w:rPr>
                <w:lang w:val="en-US"/>
              </w:rPr>
            </w:pPr>
            <w:r>
              <w:rPr>
                <w:lang w:val="en-US"/>
              </w:rPr>
              <w:t>3322.98</w:t>
            </w:r>
          </w:p>
        </w:tc>
        <w:tc>
          <w:tcPr>
            <w:tcW w:w="2552" w:type="dxa"/>
            <w:vAlign w:val="center"/>
          </w:tcPr>
          <w:p>
            <w:pPr>
              <w:spacing w:line="360" w:lineRule="exact"/>
              <w:jc w:val="center"/>
              <w:rPr>
                <w:lang w:val="en-US"/>
              </w:rPr>
            </w:pPr>
            <w:r>
              <w:rPr>
                <w:lang w:val="en-US"/>
              </w:rPr>
              <w:t>2178.49</w:t>
            </w:r>
          </w:p>
        </w:tc>
        <w:tc>
          <w:tcPr>
            <w:tcW w:w="1134" w:type="dxa"/>
            <w:vAlign w:val="center"/>
          </w:tcPr>
          <w:p>
            <w:pPr>
              <w:spacing w:line="360" w:lineRule="exact"/>
              <w:jc w:val="center"/>
              <w:rPr>
                <w:lang w:val="en-US"/>
              </w:rPr>
            </w:pPr>
            <w:r>
              <w:rPr>
                <w:lang w:val="en-US"/>
              </w:rPr>
              <w:t>65.56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未命名(1BC0)</w:t>
            </w:r>
          </w:p>
        </w:tc>
        <w:tc>
          <w:tcPr>
            <w:tcW w:w="1417" w:type="dxa"/>
            <w:vAlign w:val="center"/>
          </w:tcPr>
          <w:p>
            <w:pPr>
              <w:spacing w:line="360" w:lineRule="exact"/>
              <w:jc w:val="center"/>
              <w:rPr>
                <w:lang w:val="en-US"/>
              </w:rPr>
            </w:pPr>
            <w:r>
              <w:rPr>
                <w:lang w:val="en-US"/>
              </w:rPr>
              <w:t>4312.16</w:t>
            </w:r>
          </w:p>
        </w:tc>
        <w:tc>
          <w:tcPr>
            <w:tcW w:w="2552" w:type="dxa"/>
            <w:vAlign w:val="center"/>
          </w:tcPr>
          <w:p>
            <w:pPr>
              <w:spacing w:line="360" w:lineRule="exact"/>
              <w:jc w:val="center"/>
              <w:rPr>
                <w:lang w:val="en-US"/>
              </w:rPr>
            </w:pPr>
            <w:r>
              <w:rPr>
                <w:lang w:val="en-US"/>
              </w:rPr>
              <w:t>3887.41</w:t>
            </w:r>
          </w:p>
        </w:tc>
        <w:tc>
          <w:tcPr>
            <w:tcW w:w="1134" w:type="dxa"/>
            <w:vAlign w:val="center"/>
          </w:tcPr>
          <w:p>
            <w:pPr>
              <w:spacing w:line="360" w:lineRule="exact"/>
              <w:jc w:val="center"/>
              <w:rPr>
                <w:lang w:val="en-US"/>
              </w:rPr>
            </w:pPr>
            <w:r>
              <w:rPr>
                <w:lang w:val="en-US"/>
              </w:rPr>
              <w:t>90.15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未命名(7871)</w:t>
            </w:r>
          </w:p>
        </w:tc>
        <w:tc>
          <w:tcPr>
            <w:tcW w:w="1417" w:type="dxa"/>
            <w:vAlign w:val="center"/>
          </w:tcPr>
          <w:p>
            <w:pPr>
              <w:spacing w:line="360" w:lineRule="exact"/>
              <w:jc w:val="center"/>
              <w:rPr>
                <w:lang w:val="en-US"/>
              </w:rPr>
            </w:pPr>
            <w:r>
              <w:rPr>
                <w:lang w:val="en-US"/>
              </w:rPr>
              <w:t>420.93</w:t>
            </w:r>
          </w:p>
        </w:tc>
        <w:tc>
          <w:tcPr>
            <w:tcW w:w="2552" w:type="dxa"/>
            <w:vAlign w:val="center"/>
          </w:tcPr>
          <w:p>
            <w:pPr>
              <w:spacing w:line="360" w:lineRule="exact"/>
              <w:jc w:val="center"/>
              <w:rPr>
                <w:lang w:val="en-US"/>
              </w:rPr>
            </w:pPr>
            <w:r>
              <w:rPr>
                <w:lang w:val="en-US"/>
              </w:rPr>
              <w:t>296.26</w:t>
            </w:r>
          </w:p>
        </w:tc>
        <w:tc>
          <w:tcPr>
            <w:tcW w:w="1134" w:type="dxa"/>
            <w:vAlign w:val="center"/>
          </w:tcPr>
          <w:p>
            <w:pPr>
              <w:spacing w:line="360" w:lineRule="exact"/>
              <w:jc w:val="center"/>
              <w:rPr>
                <w:lang w:val="en-US"/>
              </w:rPr>
            </w:pPr>
            <w:r>
              <w:rPr>
                <w:lang w:val="en-US"/>
              </w:rPr>
              <w:t>70.38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未命名(78A6)</w:t>
            </w:r>
          </w:p>
        </w:tc>
        <w:tc>
          <w:tcPr>
            <w:tcW w:w="1417" w:type="dxa"/>
            <w:vAlign w:val="center"/>
          </w:tcPr>
          <w:p>
            <w:pPr>
              <w:spacing w:line="360" w:lineRule="exact"/>
              <w:jc w:val="center"/>
              <w:rPr>
                <w:lang w:val="en-US"/>
              </w:rPr>
            </w:pPr>
            <w:r>
              <w:rPr>
                <w:lang w:val="en-US"/>
              </w:rPr>
              <w:t>235.38</w:t>
            </w:r>
          </w:p>
        </w:tc>
        <w:tc>
          <w:tcPr>
            <w:tcW w:w="2552" w:type="dxa"/>
            <w:vAlign w:val="center"/>
          </w:tcPr>
          <w:p>
            <w:pPr>
              <w:spacing w:line="360" w:lineRule="exact"/>
              <w:jc w:val="center"/>
              <w:rPr>
                <w:lang w:val="en-US"/>
              </w:rPr>
            </w:pPr>
            <w:r>
              <w:rPr>
                <w:lang w:val="en-US"/>
              </w:rPr>
              <w:t>156.54</w:t>
            </w:r>
          </w:p>
        </w:tc>
        <w:tc>
          <w:tcPr>
            <w:tcW w:w="1134" w:type="dxa"/>
            <w:vAlign w:val="center"/>
          </w:tcPr>
          <w:p>
            <w:pPr>
              <w:spacing w:line="360" w:lineRule="exact"/>
              <w:jc w:val="center"/>
              <w:rPr>
                <w:lang w:val="en-US"/>
              </w:rPr>
            </w:pPr>
            <w:r>
              <w:rPr>
                <w:lang w:val="en-US"/>
              </w:rPr>
              <w:t>66.50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未命名(78A9)</w:t>
            </w:r>
          </w:p>
        </w:tc>
        <w:tc>
          <w:tcPr>
            <w:tcW w:w="1417" w:type="dxa"/>
            <w:vAlign w:val="center"/>
          </w:tcPr>
          <w:p>
            <w:pPr>
              <w:spacing w:line="360" w:lineRule="exact"/>
              <w:jc w:val="center"/>
              <w:rPr>
                <w:lang w:val="en-US"/>
              </w:rPr>
            </w:pPr>
            <w:r>
              <w:rPr>
                <w:lang w:val="en-US"/>
              </w:rPr>
              <w:t>835.01</w:t>
            </w:r>
          </w:p>
        </w:tc>
        <w:tc>
          <w:tcPr>
            <w:tcW w:w="2552" w:type="dxa"/>
            <w:vAlign w:val="center"/>
          </w:tcPr>
          <w:p>
            <w:pPr>
              <w:spacing w:line="360" w:lineRule="exact"/>
              <w:jc w:val="center"/>
              <w:rPr>
                <w:lang w:val="en-US"/>
              </w:rPr>
            </w:pPr>
            <w:r>
              <w:rPr>
                <w:lang w:val="en-US"/>
              </w:rPr>
              <w:t>406.29</w:t>
            </w:r>
          </w:p>
        </w:tc>
        <w:tc>
          <w:tcPr>
            <w:tcW w:w="1134" w:type="dxa"/>
            <w:vAlign w:val="center"/>
          </w:tcPr>
          <w:p>
            <w:pPr>
              <w:spacing w:line="360" w:lineRule="exact"/>
              <w:jc w:val="center"/>
              <w:rPr>
                <w:lang w:val="en-US"/>
              </w:rPr>
            </w:pPr>
            <w:r>
              <w:rPr>
                <w:lang w:val="en-US"/>
              </w:rPr>
              <w:t>48.66</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未命名(78AD)</w:t>
            </w:r>
          </w:p>
        </w:tc>
        <w:tc>
          <w:tcPr>
            <w:tcW w:w="1417" w:type="dxa"/>
            <w:vAlign w:val="center"/>
          </w:tcPr>
          <w:p>
            <w:pPr>
              <w:spacing w:line="360" w:lineRule="exact"/>
              <w:jc w:val="center"/>
              <w:rPr>
                <w:lang w:val="en-US"/>
              </w:rPr>
            </w:pPr>
            <w:r>
              <w:rPr>
                <w:lang w:val="en-US"/>
              </w:rPr>
              <w:t>110.87</w:t>
            </w:r>
          </w:p>
        </w:tc>
        <w:tc>
          <w:tcPr>
            <w:tcW w:w="2552" w:type="dxa"/>
            <w:vAlign w:val="center"/>
          </w:tcPr>
          <w:p>
            <w:pPr>
              <w:spacing w:line="360" w:lineRule="exact"/>
              <w:jc w:val="center"/>
              <w:rPr>
                <w:lang w:val="en-US"/>
              </w:rPr>
            </w:pPr>
            <w:r>
              <w:rPr>
                <w:lang w:val="en-US"/>
              </w:rPr>
              <w:t>97.44</w:t>
            </w:r>
          </w:p>
        </w:tc>
        <w:tc>
          <w:tcPr>
            <w:tcW w:w="1134" w:type="dxa"/>
            <w:vAlign w:val="center"/>
          </w:tcPr>
          <w:p>
            <w:pPr>
              <w:spacing w:line="360" w:lineRule="exact"/>
              <w:jc w:val="center"/>
              <w:rPr>
                <w:lang w:val="en-US"/>
              </w:rPr>
            </w:pPr>
            <w:r>
              <w:rPr>
                <w:lang w:val="en-US"/>
              </w:rPr>
              <w:t>87.89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未命名(78B1)</w:t>
            </w:r>
          </w:p>
        </w:tc>
        <w:tc>
          <w:tcPr>
            <w:tcW w:w="1417" w:type="dxa"/>
            <w:vAlign w:val="center"/>
          </w:tcPr>
          <w:p>
            <w:pPr>
              <w:spacing w:line="360" w:lineRule="exact"/>
              <w:jc w:val="center"/>
              <w:rPr>
                <w:lang w:val="en-US"/>
              </w:rPr>
            </w:pPr>
            <w:r>
              <w:rPr>
                <w:lang w:val="en-US"/>
              </w:rPr>
              <w:t>110.14</w:t>
            </w:r>
          </w:p>
        </w:tc>
        <w:tc>
          <w:tcPr>
            <w:tcW w:w="2552" w:type="dxa"/>
            <w:vAlign w:val="center"/>
          </w:tcPr>
          <w:p>
            <w:pPr>
              <w:spacing w:line="360" w:lineRule="exact"/>
              <w:jc w:val="center"/>
              <w:rPr>
                <w:lang w:val="en-US"/>
              </w:rPr>
            </w:pPr>
            <w:r>
              <w:rPr>
                <w:lang w:val="en-US"/>
              </w:rPr>
              <w:t>65.72</w:t>
            </w:r>
          </w:p>
        </w:tc>
        <w:tc>
          <w:tcPr>
            <w:tcW w:w="1134" w:type="dxa"/>
            <w:vAlign w:val="center"/>
          </w:tcPr>
          <w:p>
            <w:pPr>
              <w:spacing w:line="360" w:lineRule="exact"/>
              <w:jc w:val="center"/>
              <w:rPr>
                <w:lang w:val="en-US"/>
              </w:rPr>
            </w:pPr>
            <w:r>
              <w:rPr>
                <w:lang w:val="en-US"/>
              </w:rPr>
              <w:t>59.67</w:t>
            </w:r>
          </w:p>
        </w:tc>
        <w:tc>
          <w:tcPr>
            <w:tcW w:w="835" w:type="dxa"/>
            <w:vAlign w:val="center"/>
          </w:tcPr>
          <w:p>
            <w:pPr>
              <w:spacing w:line="360" w:lineRule="exact"/>
              <w:jc w:val="center"/>
              <w:rPr>
                <w:lang w:val="en-US"/>
              </w:rPr>
            </w:pPr>
            <w:r>
              <w:rPr>
                <w:lang w:val="en-US"/>
              </w:rPr>
              <w:t>是</w:t>
            </w:r>
          </w:p>
        </w:tc>
      </w:tr>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bookmarkEnd w:id="40"/>
    </w:p>
    <w:p>
      <w:pPr>
        <w:rPr>
          <w:lang w:val="en-US"/>
        </w:rPr>
      </w:pPr>
      <w:r>
        <w:rPr>
          <w:rFonts w:hint="eastAsia"/>
          <w:lang w:val="en-US"/>
        </w:rPr>
        <w:t>结论：本项目中未命名(78A9)建筑未满足“50%以上可开启外窗室内外表面的风压差大于0.5Pa”的要求，该条不得分。</w:t>
      </w:r>
      <w:bookmarkEnd w:id="42"/>
      <w:r>
        <w:rPr>
          <w:rFonts w:hint="eastAsia"/>
          <w:lang w:val="en-US"/>
        </w:rPr>
        <w:t xml:space="preserve"> </w:t>
      </w:r>
    </w:p>
    <w:p>
      <w:pPr>
        <w:rPr>
          <w:lang w:val="en-US"/>
        </w:rPr>
      </w:pPr>
      <w:bookmarkStart w:id="81" w:name="其他工况"/>
      <w:bookmarkEnd w:id="81"/>
      <w:r>
        <w:rPr>
          <w:rFonts w:hint="eastAsia"/>
          <w:lang w:val="en-US"/>
        </w:rPr>
        <w:t xml:space="preserve"> </w:t>
      </w:r>
    </w:p>
    <w:p>
      <w:pPr>
        <w:pStyle w:val="4"/>
      </w:pPr>
      <w:bookmarkStart w:id="82" w:name="_Toc2370"/>
      <w:bookmarkStart w:id="83" w:name="_Toc509844764"/>
      <w:r>
        <w:rPr>
          <w:rFonts w:hint="eastAsia"/>
        </w:rPr>
        <w:t>结论</w:t>
      </w:r>
      <w:bookmarkEnd w:id="82"/>
      <w:bookmarkEnd w:id="83"/>
    </w:p>
    <w:p>
      <w:pPr>
        <w:pStyle w:val="5"/>
      </w:pPr>
      <w:bookmarkStart w:id="84" w:name="_Toc32703"/>
      <w:r>
        <w:rPr>
          <w:rFonts w:hint="eastAsia"/>
        </w:rPr>
        <w:t>冬季工况达标判断</w:t>
      </w:r>
      <w:bookmarkEnd w:id="84"/>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r>
              <w:t>没有出现</w:t>
            </w:r>
            <w:r>
              <w:rPr>
                <w:rFonts w:hint="eastAsia"/>
                <w:lang w:val="en-US"/>
              </w:rPr>
              <w:t>风速大于</w:t>
            </w:r>
            <w:r>
              <w:rPr>
                <w:lang w:val="en-US"/>
              </w:rPr>
              <w:t>5m/s</w:t>
            </w:r>
            <w:r>
              <w:rPr>
                <w:rFonts w:hint="eastAsia"/>
                <w:lang w:val="en-US"/>
              </w:rPr>
              <w:t>的区域，户外休息区、儿童娱乐区</w:t>
            </w:r>
            <w:r>
              <w:t>没有出现</w:t>
            </w:r>
            <w:r>
              <w:rPr>
                <w:rFonts w:hint="eastAsia"/>
                <w:lang w:val="en-US"/>
              </w:rPr>
              <w:t>风速大于2m/s的区域</w:t>
            </w:r>
          </w:p>
        </w:tc>
        <w:tc>
          <w:tcPr>
            <w:tcW w:w="1985" w:type="dxa"/>
            <w:vMerge w:val="restart"/>
            <w:tcBorders>
              <w:top w:val="single" w:color="auto" w:sz="4" w:space="0"/>
            </w:tcBorders>
            <w:shd w:val="clear" w:color="auto" w:fill="auto"/>
            <w:vAlign w:val="center"/>
          </w:tcPr>
          <w:p>
            <w:pPr>
              <w:jc w:val="center"/>
              <w:rPr>
                <w:b/>
                <w:lang w:val="en-US"/>
              </w:rPr>
            </w:pPr>
            <w:r>
              <w:rPr>
                <w:rFonts w:hint="eastAsia"/>
                <w:b/>
                <w:lang w:val="en-US"/>
              </w:rPr>
              <w:t>达标</w:t>
            </w:r>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3分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w:t>
            </w:r>
            <w:r>
              <w:t>没有出现</w:t>
            </w:r>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vAlign w:val="center"/>
          </w:tcPr>
          <w:p>
            <w:pPr>
              <w:jc w:val="center"/>
              <w:rPr>
                <w:lang w:val="en-US"/>
              </w:rPr>
            </w:pPr>
            <w:r>
              <w:rPr>
                <w:rFonts w:hint="eastAsia"/>
                <w:lang w:val="en-US"/>
              </w:rPr>
              <w:t>本项目</w:t>
            </w:r>
            <w:r>
              <w:t>没有出现</w:t>
            </w:r>
            <w:r>
              <w:rPr>
                <w:rFonts w:hint="eastAsia"/>
                <w:lang w:val="en-US"/>
              </w:rPr>
              <w:t>建筑迎风面与背风面表面风压差大于5Pa的建筑</w:t>
            </w:r>
          </w:p>
        </w:tc>
        <w:tc>
          <w:tcPr>
            <w:tcW w:w="1985" w:type="dxa"/>
            <w:shd w:val="clear" w:color="auto" w:fill="auto"/>
            <w:vAlign w:val="center"/>
          </w:tcPr>
          <w:p>
            <w:pPr>
              <w:jc w:val="center"/>
              <w:rPr>
                <w:lang w:val="en-US"/>
              </w:rPr>
            </w:pPr>
            <w:r>
              <w:rPr>
                <w:rFonts w:hint="eastAsia"/>
                <w:b/>
                <w:lang w:val="en-US"/>
              </w:rPr>
              <w:t>达标</w:t>
            </w:r>
          </w:p>
        </w:tc>
        <w:tc>
          <w:tcPr>
            <w:tcW w:w="1416" w:type="dxa"/>
            <w:shd w:val="clear" w:color="auto" w:fill="auto"/>
            <w:vAlign w:val="center"/>
          </w:tcPr>
          <w:p>
            <w:pPr>
              <w:jc w:val="center"/>
              <w:rPr>
                <w:lang w:val="en-US"/>
              </w:rPr>
            </w:pPr>
            <w:r>
              <w:rPr>
                <w:rFonts w:hint="eastAsia"/>
                <w:lang w:val="en-US"/>
              </w:rPr>
              <w:t>2</w:t>
            </w:r>
            <w:bookmarkEnd w:id="10"/>
            <w:r>
              <w:rPr>
                <w:rFonts w:hint="eastAsia"/>
                <w:lang w:val="en-US"/>
              </w:rPr>
              <w:t>分</w:t>
            </w:r>
          </w:p>
        </w:tc>
      </w:tr>
      <w:bookmarkEnd w:id="11"/>
      <w:bookmarkEnd w:id="13"/>
    </w:tbl>
    <w:p>
      <w:pPr>
        <w:rPr>
          <w:szCs w:val="21"/>
          <w:lang w:val="en-US"/>
        </w:rPr>
      </w:pPr>
    </w:p>
    <w:bookmarkEnd w:id="0"/>
    <w:bookmarkEnd w:id="1"/>
    <w:p>
      <w:pPr>
        <w:pStyle w:val="5"/>
      </w:pPr>
      <w:bookmarkStart w:id="85" w:name="_Toc10426"/>
      <w:r>
        <w:rPr>
          <w:rFonts w:hint="eastAsia"/>
        </w:rPr>
        <w:t>过渡季、夏季工况达标判断</w:t>
      </w:r>
      <w:bookmarkEnd w:id="2"/>
      <w:bookmarkEnd w:id="85"/>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人行区有</w:t>
            </w:r>
            <w:bookmarkEnd w:id="3"/>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r>
              <w:rPr>
                <w:rFonts w:hint="eastAsia"/>
                <w:b/>
                <w:color w:val="FF0000"/>
                <w:lang w:val="en-US"/>
              </w:rPr>
              <w:t>不达标</w:t>
            </w:r>
            <w:bookmarkEnd w:id="4"/>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0</w:t>
            </w:r>
            <w:bookmarkEnd w:id="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r>
              <w:rPr>
                <w:rFonts w:hint="eastAsia"/>
                <w:lang w:val="en-US"/>
              </w:rPr>
              <w:t>不满足</w:t>
            </w:r>
            <w:bookmarkEnd w:id="6"/>
            <w:r>
              <w:rPr>
                <w:rFonts w:hint="eastAsia"/>
                <w:lang w:val="en-US"/>
              </w:rPr>
              <w:t>标准要求</w:t>
            </w:r>
          </w:p>
        </w:tc>
        <w:tc>
          <w:tcPr>
            <w:tcW w:w="1985" w:type="dxa"/>
            <w:shd w:val="clear" w:color="auto" w:fill="auto"/>
            <w:vAlign w:val="center"/>
          </w:tcPr>
          <w:p>
            <w:pPr>
              <w:jc w:val="center"/>
              <w:rPr>
                <w:b/>
                <w:lang w:val="en-US"/>
              </w:rPr>
            </w:pPr>
            <w:r>
              <w:rPr>
                <w:rFonts w:hint="eastAsia"/>
                <w:b/>
                <w:color w:val="FF0000"/>
                <w:lang w:val="en-US"/>
              </w:rPr>
              <w:t>不达标</w:t>
            </w:r>
            <w:bookmarkEnd w:id="7"/>
          </w:p>
        </w:tc>
        <w:tc>
          <w:tcPr>
            <w:tcW w:w="1416" w:type="dxa"/>
            <w:shd w:val="clear" w:color="auto" w:fill="auto"/>
            <w:vAlign w:val="center"/>
          </w:tcPr>
          <w:p>
            <w:pPr>
              <w:jc w:val="center"/>
              <w:rPr>
                <w:lang w:val="en-US"/>
              </w:rPr>
            </w:pPr>
            <w:r>
              <w:rPr>
                <w:rFonts w:hint="eastAsia"/>
                <w:lang w:val="en-US"/>
              </w:rPr>
              <w:t>0</w:t>
            </w:r>
            <w:bookmarkEnd w:id="32"/>
            <w:r>
              <w:rPr>
                <w:rFonts w:hint="eastAsia"/>
                <w:lang w:val="en-US"/>
              </w:rPr>
              <w:t>分</w:t>
            </w:r>
          </w:p>
        </w:tc>
      </w:tr>
      <w:bookmarkEnd w:id="8"/>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86" w:name="总得分"/>
      <w:r>
        <w:rPr>
          <w:rFonts w:hint="eastAsia"/>
          <w:lang w:val="en-US"/>
        </w:rPr>
        <w:t>5</w:t>
      </w:r>
      <w:bookmarkEnd w:id="86"/>
      <w:r>
        <w:rPr>
          <w:rFonts w:hint="eastAsia"/>
          <w:lang w:val="en-US"/>
        </w:rPr>
        <w:t>分</w:t>
      </w:r>
      <w:bookmarkStart w:id="87" w:name="_GoBack"/>
      <w:bookmarkEnd w:id="87"/>
      <w:r>
        <w:rPr>
          <w:rFonts w:hint="eastAsia"/>
          <w:lang w:val="en-US"/>
        </w:rPr>
        <w:t>。</w:t>
      </w:r>
    </w:p>
    <w:sectPr>
      <w:pgSz w:w="11906" w:h="16838"/>
      <w:pgMar w:top="1440" w:right="1133" w:bottom="993" w:left="1701"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useFELayout/>
    <w:compatSetting w:name="compatibilityMode" w:uri="http://schemas.microsoft.com/office/word" w:val="12"/>
  </w:compat>
  <w:rsids>
    <w:rsidRoot w:val="00217F62"/>
    <w:rsid w:val="001915A3"/>
    <w:rsid w:val="00217F62"/>
    <w:rsid w:val="00A906D8"/>
    <w:rsid w:val="00AB5A74"/>
    <w:rsid w:val="00F071AE"/>
    <w:rsid w:val="03946DA1"/>
    <w:rsid w:val="1476648D"/>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Layout w:type="fixed"/>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Char"/>
    <w:link w:val="2"/>
    <w:qFormat/>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qFormat/>
    <w:uiPriority w:val="0"/>
    <w:rPr>
      <w:rFonts w:ascii="宋体" w:hAnsi="宋体" w:cs="Arial"/>
      <w:b/>
      <w:bCs/>
      <w:sz w:val="21"/>
      <w:szCs w:val="21"/>
    </w:rPr>
  </w:style>
  <w:style w:type="character" w:customStyle="1" w:styleId="34">
    <w:name w:val="批注框文本 Char"/>
    <w:link w:val="16"/>
    <w:qFormat/>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5" Type="http://schemas.openxmlformats.org/officeDocument/2006/relationships/fontTable" Target="fontTable.xml"/><Relationship Id="rId84" Type="http://schemas.openxmlformats.org/officeDocument/2006/relationships/customXml" Target="../customXml/item2.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image" Target="media/image3.png"/><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image" Target="media/image2.bmp"/><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wmf"/><Relationship Id="rId66" Type="http://schemas.openxmlformats.org/officeDocument/2006/relationships/oleObject" Target="embeddings/oleObject7.bin"/><Relationship Id="rId65" Type="http://schemas.openxmlformats.org/officeDocument/2006/relationships/image" Target="media/image54.wmf"/><Relationship Id="rId64" Type="http://schemas.openxmlformats.org/officeDocument/2006/relationships/oleObject" Target="embeddings/oleObject6.bin"/><Relationship Id="rId63" Type="http://schemas.openxmlformats.org/officeDocument/2006/relationships/image" Target="media/image53.wmf"/><Relationship Id="rId62" Type="http://schemas.openxmlformats.org/officeDocument/2006/relationships/oleObject" Target="embeddings/oleObject5.bin"/><Relationship Id="rId61" Type="http://schemas.openxmlformats.org/officeDocument/2006/relationships/image" Target="media/image52.wmf"/><Relationship Id="rId60" Type="http://schemas.openxmlformats.org/officeDocument/2006/relationships/oleObject" Target="embeddings/oleObject4.bin"/><Relationship Id="rId6" Type="http://schemas.openxmlformats.org/officeDocument/2006/relationships/theme" Target="theme/theme1.xml"/><Relationship Id="rId59" Type="http://schemas.openxmlformats.org/officeDocument/2006/relationships/image" Target="media/image51.wmf"/><Relationship Id="rId58" Type="http://schemas.openxmlformats.org/officeDocument/2006/relationships/image" Target="media/image50.wmf"/><Relationship Id="rId57" Type="http://schemas.openxmlformats.org/officeDocument/2006/relationships/image" Target="media/image49.wmf"/><Relationship Id="rId56" Type="http://schemas.openxmlformats.org/officeDocument/2006/relationships/image" Target="media/image48.wmf"/><Relationship Id="rId55" Type="http://schemas.openxmlformats.org/officeDocument/2006/relationships/image" Target="media/image47.wmf"/><Relationship Id="rId54" Type="http://schemas.openxmlformats.org/officeDocument/2006/relationships/image" Target="media/image46.wmf"/><Relationship Id="rId53" Type="http://schemas.openxmlformats.org/officeDocument/2006/relationships/image" Target="media/image45.wmf"/><Relationship Id="rId52" Type="http://schemas.openxmlformats.org/officeDocument/2006/relationships/image" Target="media/image44.wmf"/><Relationship Id="rId51" Type="http://schemas.openxmlformats.org/officeDocument/2006/relationships/image" Target="media/image43.wmf"/><Relationship Id="rId50" Type="http://schemas.openxmlformats.org/officeDocument/2006/relationships/image" Target="media/image42.wmf"/><Relationship Id="rId5" Type="http://schemas.openxmlformats.org/officeDocument/2006/relationships/footer" Target="footer2.xml"/><Relationship Id="rId49" Type="http://schemas.openxmlformats.org/officeDocument/2006/relationships/image" Target="media/image41.wmf"/><Relationship Id="rId48" Type="http://schemas.openxmlformats.org/officeDocument/2006/relationships/image" Target="media/image40.wmf"/><Relationship Id="rId47" Type="http://schemas.openxmlformats.org/officeDocument/2006/relationships/image" Target="media/image39.wmf"/><Relationship Id="rId46" Type="http://schemas.openxmlformats.org/officeDocument/2006/relationships/image" Target="media/image38.wmf"/><Relationship Id="rId45" Type="http://schemas.openxmlformats.org/officeDocument/2006/relationships/image" Target="media/image37.wmf"/><Relationship Id="rId44" Type="http://schemas.openxmlformats.org/officeDocument/2006/relationships/image" Target="media/image36.wmf"/><Relationship Id="rId43" Type="http://schemas.openxmlformats.org/officeDocument/2006/relationships/image" Target="media/image35.wmf"/><Relationship Id="rId42" Type="http://schemas.openxmlformats.org/officeDocument/2006/relationships/image" Target="media/image34.wmf"/><Relationship Id="rId41" Type="http://schemas.openxmlformats.org/officeDocument/2006/relationships/image" Target="media/image33.wmf"/><Relationship Id="rId40" Type="http://schemas.openxmlformats.org/officeDocument/2006/relationships/image" Target="media/image32.wmf"/><Relationship Id="rId4" Type="http://schemas.openxmlformats.org/officeDocument/2006/relationships/footer" Target="footer1.xml"/><Relationship Id="rId39" Type="http://schemas.openxmlformats.org/officeDocument/2006/relationships/image" Target="media/image31.wmf"/><Relationship Id="rId38" Type="http://schemas.openxmlformats.org/officeDocument/2006/relationships/image" Target="media/image30.wmf"/><Relationship Id="rId37" Type="http://schemas.openxmlformats.org/officeDocument/2006/relationships/image" Target="media/image29.wmf"/><Relationship Id="rId36" Type="http://schemas.openxmlformats.org/officeDocument/2006/relationships/image" Target="media/image28.wmf"/><Relationship Id="rId35" Type="http://schemas.openxmlformats.org/officeDocument/2006/relationships/image" Target="media/image27.wmf"/><Relationship Id="rId34" Type="http://schemas.openxmlformats.org/officeDocument/2006/relationships/image" Target="media/image26.wmf"/><Relationship Id="rId33" Type="http://schemas.openxmlformats.org/officeDocument/2006/relationships/image" Target="media/image25.wmf"/><Relationship Id="rId32" Type="http://schemas.openxmlformats.org/officeDocument/2006/relationships/image" Target="media/image24.wmf"/><Relationship Id="rId31" Type="http://schemas.openxmlformats.org/officeDocument/2006/relationships/image" Target="media/image23.wmf"/><Relationship Id="rId30" Type="http://schemas.openxmlformats.org/officeDocument/2006/relationships/image" Target="media/image22.wmf"/><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image" Target="media/image16.wmf"/><Relationship Id="rId23" Type="http://schemas.openxmlformats.org/officeDocument/2006/relationships/image" Target="media/image15.wmf"/><Relationship Id="rId22" Type="http://schemas.openxmlformats.org/officeDocument/2006/relationships/image" Target="media/image14.wmf"/><Relationship Id="rId21" Type="http://schemas.openxmlformats.org/officeDocument/2006/relationships/image" Target="media/image13.wmf"/><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04F88-87BB-429C-B5FB-EE09E69A1663}">
  <ds:schemaRefs/>
</ds:datastoreItem>
</file>

<file path=docProps/app.xml><?xml version="1.0" encoding="utf-8"?>
<Properties xmlns="http://schemas.openxmlformats.org/officeDocument/2006/extended-properties" xmlns:vt="http://schemas.openxmlformats.org/officeDocument/2006/docPropsVTypes">
  <Template>室外风环境模拟分析报告2019.dotx</Template>
  <Company>ths</Company>
  <Pages>12</Pages>
  <Words>2638</Words>
  <Characters>3113</Characters>
  <Lines>259</Lines>
  <Paragraphs>273</Paragraphs>
  <TotalTime>62</TotalTime>
  <ScaleCrop>false</ScaleCrop>
  <LinksUpToDate>false</LinksUpToDate>
  <CharactersWithSpaces>5478</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2018-04-09T01:52:00Z</dcterms:created>
  <dc:creator>lilikui</dc:creator>
  <cp:lastModifiedBy>Administrator</cp:lastModifiedBy>
  <cp:lastPrinted>1900-12-31T16:00:00Z</cp:lastPrinted>
  <dcterms:modified xsi:type="dcterms:W3CDTF">2021-04-30T10:03:01Z</dcterms:modified>
  <dc:title>室外风环境模拟分析报告</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