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368"/>
        <w:gridCol w:w="141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6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36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36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7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4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01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4014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设置防滑地砖，</w:t>
            </w:r>
            <w:r>
              <w:rPr>
                <w:rFonts w:ascii="Times New Roman" w:hAnsi="Times New Roman" w:cs="Times New Roman"/>
                <w:szCs w:val="21"/>
              </w:rPr>
              <w:t>防滑等级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为</w:t>
            </w:r>
            <w:r>
              <w:rPr>
                <w:rFonts w:ascii="Times New Roman" w:hAnsi="Times New Roman" w:cs="Times New Roman"/>
                <w:szCs w:val="21"/>
              </w:rPr>
              <w:t>Bd、Bw级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hint="eastAsia" w:ascii="宋体" w:eastAsia="宋体" w:cs="宋体"/>
                <w:kern w:val="0"/>
                <w:szCs w:val="21"/>
              </w:rPr>
              <w:t>幼儿园、老年人照料设施等建筑室内外活动场所采用柔（弹）性防滑地面</w:t>
            </w:r>
          </w:p>
        </w:tc>
        <w:tc>
          <w:tcPr>
            <w:tcW w:w="4014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室内外活动场地防滑地面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防滑等级</w:t>
            </w:r>
            <w:r>
              <w:rPr>
                <w:rFonts w:ascii="Times New Roman" w:hAnsi="Times New Roman" w:cs="Times New Roman"/>
                <w:szCs w:val="21"/>
              </w:rPr>
              <w:t>Ad、Aw级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8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4014" w:type="dxa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Ad、Aw级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29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建筑竣工图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267A6F"/>
    <w:rsid w:val="003A5E78"/>
    <w:rsid w:val="005B034A"/>
    <w:rsid w:val="0097357A"/>
    <w:rsid w:val="009B3E5D"/>
    <w:rsid w:val="00A42237"/>
    <w:rsid w:val="00A751E0"/>
    <w:rsid w:val="00D154F3"/>
    <w:rsid w:val="481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33D59"/>
    <w:rsid w:val="008A5E28"/>
    <w:rsid w:val="00B65574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Administrator</cp:lastModifiedBy>
  <dcterms:modified xsi:type="dcterms:W3CDTF">2021-04-20T03:10:14Z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