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5.1.9</w:t>
      </w:r>
      <w:r>
        <w:rPr>
          <w:rFonts w:hint="eastAsia" w:eastAsiaTheme="minorEastAsia"/>
          <w:sz w:val="24"/>
          <w:szCs w:val="40"/>
        </w:rPr>
        <w:t xml:space="preserve"> 设有机械通风的汽车库应设置与排风设备联动的一氧化碳</w:t>
      </w:r>
      <w:r>
        <w:rPr>
          <w:rFonts w:eastAsiaTheme="minorEastAsia"/>
          <w:sz w:val="24"/>
          <w:szCs w:val="40"/>
        </w:rPr>
        <w:t>浓度监测装置。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843846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3455130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Times New Roman" w:hAnsi="Times New Roman" w:eastAsia="宋体" w:cs="Times New Roman"/>
          <w:szCs w:val="21"/>
        </w:rPr>
        <w:t>地下车库CO监控系统功能以及控制策略进行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地下汽车库设置机械通风，平时排风按6次换气或CO浓度为20mg/m3计算取大值并设置机械补风系统，补风量不小于80%，地下车库设CO浓度传感器，设置原则为一个防烟分区一个测点，根据CO浓度控制风机变频调节。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暖通</w:t>
      </w:r>
      <w:r>
        <w:rPr>
          <w:rFonts w:hint="eastAsia" w:ascii="Times New Roman" w:hAnsi="Times New Roman" w:eastAsia="宋体" w:cs="Times New Roman"/>
          <w:szCs w:val="21"/>
        </w:rPr>
        <w:t>空调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、说明文件；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2）建筑智能化竣工图、说明文件；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3）设备运行记录。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建筑智能化竣工图、说明文件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06"/>
    <w:rsid w:val="00074A38"/>
    <w:rsid w:val="00163238"/>
    <w:rsid w:val="002102BB"/>
    <w:rsid w:val="0023190C"/>
    <w:rsid w:val="00402406"/>
    <w:rsid w:val="00744E55"/>
    <w:rsid w:val="0089429E"/>
    <w:rsid w:val="00A3508B"/>
    <w:rsid w:val="00A62CEA"/>
    <w:rsid w:val="00BC7CD4"/>
    <w:rsid w:val="00CA1009"/>
    <w:rsid w:val="00E00F02"/>
    <w:rsid w:val="23D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Lines>1</Lines>
  <Paragraphs>1</Paragraphs>
  <TotalTime>0</TotalTime>
  <ScaleCrop>false</ScaleCrop>
  <LinksUpToDate>false</LinksUpToDate>
  <CharactersWithSpaces>269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2019-07-12T07:50:00Z</dcterms:created>
  <dc:creator>dongYP</dc:creator>
  <cp:lastModifiedBy>Administrator</cp:lastModifiedBy>
  <dcterms:modified xsi:type="dcterms:W3CDTF">2021-04-30T07:28:08Z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