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62E0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A5FA3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62E0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97550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443CB7">
        <w:trPr>
          <w:trHeight w:val="1711"/>
          <w:jc w:val="center"/>
        </w:trPr>
        <w:tc>
          <w:tcPr>
            <w:tcW w:w="9356" w:type="dxa"/>
          </w:tcPr>
          <w:p w:rsidR="00D73B68" w:rsidRPr="00547320" w:rsidRDefault="00762E0A" w:rsidP="005A5F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生活热水</w:t>
            </w:r>
            <w:r w:rsidRPr="002275F3">
              <w:rPr>
                <w:rFonts w:hint="eastAsia"/>
                <w:szCs w:val="21"/>
              </w:rPr>
              <w:t>水质满足国家现行有关标准的要求</w:t>
            </w:r>
            <w:r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443CB7">
        <w:trPr>
          <w:trHeight w:val="1625"/>
          <w:jc w:val="center"/>
        </w:trPr>
        <w:tc>
          <w:tcPr>
            <w:tcW w:w="9356" w:type="dxa"/>
          </w:tcPr>
          <w:p w:rsidR="00D73B68" w:rsidRPr="00547320" w:rsidRDefault="00D73B68" w:rsidP="005A5FA3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05" w:rsidRDefault="00975505" w:rsidP="00D73B68">
      <w:r>
        <w:separator/>
      </w:r>
    </w:p>
  </w:endnote>
  <w:endnote w:type="continuationSeparator" w:id="0">
    <w:p w:rsidR="00975505" w:rsidRDefault="00975505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05" w:rsidRDefault="00975505" w:rsidP="00D73B68">
      <w:r>
        <w:separator/>
      </w:r>
    </w:p>
  </w:footnote>
  <w:footnote w:type="continuationSeparator" w:id="0">
    <w:p w:rsidR="00975505" w:rsidRDefault="00975505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43CB7"/>
    <w:rsid w:val="004B762F"/>
    <w:rsid w:val="004C0347"/>
    <w:rsid w:val="00524E34"/>
    <w:rsid w:val="00572A4D"/>
    <w:rsid w:val="00592A6B"/>
    <w:rsid w:val="005A5FA3"/>
    <w:rsid w:val="00762E0A"/>
    <w:rsid w:val="00975505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A145A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3A2EE5"/>
    <w:rsid w:val="00573C9E"/>
    <w:rsid w:val="005D09D8"/>
    <w:rsid w:val="009049E7"/>
    <w:rsid w:val="00986561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8</cp:revision>
  <dcterms:created xsi:type="dcterms:W3CDTF">2019-07-12T07:52:00Z</dcterms:created>
  <dcterms:modified xsi:type="dcterms:W3CDTF">2021-04-27T08:27:00Z</dcterms:modified>
</cp:coreProperties>
</file>