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sdt>
              <w:sdtPr>
                <w:rPr>
                  <w:rFonts w:ascii="Times New Roman" w:hAnsi="Times New Roman" w:eastAsia="宋体" w:cs="Times New Roman"/>
                  <w:szCs w:val="21"/>
                </w:rPr>
                <w:id w:val="-1643104743"/>
                <w:placeholder>
                  <w:docPart w:val="2B24A267530B48CA978FB5FF8F9DF78D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8296" w:type="dxa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本项目为小学，设有室外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400米跑道，篮球场，室内宽敞活动走廊等，满足6.2.5第1、3、4条</w:t>
            </w:r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eastAsia="zh-CN"/>
            </w:rPr>
            <w:t>楼两端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default" w:cs="Times New Roman" w:asciiTheme="minorEastAsia" w:hAnsiTheme="minorEastAsia"/>
            <w:u w:val="single"/>
            <w:lang w:val="en-US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15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9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建筑施工图、总平面图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005A4D3B"/>
    <w:rsid w:val="00EA1FD5"/>
    <w:rsid w:val="1BD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A416B4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663</Characters>
  <Lines>5</Lines>
  <Paragraphs>1</Paragraphs>
  <TotalTime>8</TotalTime>
  <ScaleCrop>false</ScaleCrop>
  <LinksUpToDate>false</LinksUpToDate>
  <CharactersWithSpaces>778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Administrator</cp:lastModifiedBy>
  <dcterms:modified xsi:type="dcterms:W3CDTF">2021-04-22T09:23:47Z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