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BA" w:rsidRDefault="00B841C9">
      <w:pPr>
        <w:pStyle w:val="4"/>
        <w:rPr>
          <w:b w:val="0"/>
          <w:sz w:val="24"/>
          <w:szCs w:val="40"/>
        </w:rPr>
      </w:pPr>
      <w:r>
        <w:rPr>
          <w:rFonts w:hint="eastAsia"/>
          <w:sz w:val="24"/>
          <w:szCs w:val="40"/>
        </w:rPr>
        <w:t xml:space="preserve">8.2.7 </w:t>
      </w:r>
      <w:r>
        <w:rPr>
          <w:rFonts w:hint="eastAsia"/>
          <w:sz w:val="24"/>
          <w:szCs w:val="40"/>
        </w:rPr>
        <w:t>建筑及照明设计避免产生光污染。（</w:t>
      </w:r>
      <w:r>
        <w:rPr>
          <w:rFonts w:hint="eastAsia"/>
          <w:sz w:val="24"/>
          <w:szCs w:val="40"/>
        </w:rPr>
        <w:t>10</w:t>
      </w:r>
      <w:r>
        <w:rPr>
          <w:rFonts w:hint="eastAsia"/>
          <w:sz w:val="24"/>
          <w:szCs w:val="40"/>
        </w:rPr>
        <w:t>分）</w:t>
      </w:r>
    </w:p>
    <w:p w:rsidR="00FB6ABA" w:rsidRDefault="00B841C9" w:rsidP="00B841C9">
      <w:pPr>
        <w:spacing w:beforeLines="50" w:afterLines="5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1 </w:t>
      </w:r>
      <w:r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4962"/>
        <w:gridCol w:w="1701"/>
        <w:gridCol w:w="1628"/>
      </w:tblGrid>
      <w:tr w:rsidR="00FB6ABA">
        <w:trPr>
          <w:trHeight w:val="327"/>
          <w:jc w:val="center"/>
        </w:trPr>
        <w:tc>
          <w:tcPr>
            <w:tcW w:w="921" w:type="dxa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8" w:type="dxa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FB6ABA">
        <w:trPr>
          <w:trHeight w:val="340"/>
          <w:jc w:val="center"/>
        </w:trPr>
        <w:tc>
          <w:tcPr>
            <w:tcW w:w="921" w:type="dxa"/>
            <w:vMerge w:val="restart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FB6ABA" w:rsidRDefault="00B841C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玻璃幕墙的可见光反射比及反射光对周边环境的影响符合《玻璃幕墙光热性能》</w:t>
            </w:r>
            <w:r>
              <w:rPr>
                <w:rFonts w:ascii="Times New Roman" w:hAnsi="Times New Roman" w:cs="Times New Roman"/>
              </w:rPr>
              <w:t>GB/T 18091</w:t>
            </w:r>
            <w:r>
              <w:rPr>
                <w:rFonts w:ascii="Times New Roman" w:hAnsi="Times New Roman" w:cs="Times New Roman"/>
              </w:rPr>
              <w:t>的规定</w:t>
            </w:r>
          </w:p>
        </w:tc>
        <w:tc>
          <w:tcPr>
            <w:tcW w:w="1701" w:type="dxa"/>
            <w:vMerge w:val="restart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tc>
          <w:tcPr>
            <w:tcW w:w="1628" w:type="dxa"/>
            <w:vMerge w:val="restart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</w:tr>
      <w:tr w:rsidR="00FB6ABA">
        <w:trPr>
          <w:trHeight w:val="340"/>
          <w:jc w:val="center"/>
        </w:trPr>
        <w:tc>
          <w:tcPr>
            <w:tcW w:w="921" w:type="dxa"/>
            <w:vMerge/>
            <w:vAlign w:val="center"/>
          </w:tcPr>
          <w:p w:rsidR="00FB6ABA" w:rsidRDefault="00FB6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FB6ABA" w:rsidRDefault="00B841C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val="zh-CN"/>
              </w:rPr>
              <w:t>非玻璃幕墙建筑</w:t>
            </w:r>
          </w:p>
        </w:tc>
        <w:tc>
          <w:tcPr>
            <w:tcW w:w="1701" w:type="dxa"/>
            <w:vMerge/>
            <w:vAlign w:val="center"/>
          </w:tcPr>
          <w:p w:rsidR="00FB6ABA" w:rsidRDefault="00FB6ABA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628" w:type="dxa"/>
            <w:vMerge/>
            <w:vAlign w:val="center"/>
          </w:tcPr>
          <w:p w:rsidR="00FB6ABA" w:rsidRDefault="00FB6ABA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FB6ABA">
        <w:trPr>
          <w:trHeight w:val="340"/>
          <w:jc w:val="center"/>
        </w:trPr>
        <w:tc>
          <w:tcPr>
            <w:tcW w:w="921" w:type="dxa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 w:rsidR="00FB6ABA" w:rsidRDefault="00B841C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室外夜景照明光污染的限制符合现行国家标准《室外照明干扰光限制规范》</w:t>
            </w:r>
            <w:r>
              <w:rPr>
                <w:rFonts w:ascii="Times New Roman" w:hAnsi="Times New Roman" w:cs="Times New Roman"/>
              </w:rPr>
              <w:t>GB/T 35626</w:t>
            </w:r>
            <w:r>
              <w:rPr>
                <w:rFonts w:ascii="Times New Roman" w:hAnsi="Times New Roman" w:cs="Times New Roman"/>
              </w:rPr>
              <w:t>和现行行业标准《城市夜景照明设计规范》</w:t>
            </w:r>
            <w:r>
              <w:rPr>
                <w:rFonts w:ascii="Times New Roman" w:hAnsi="Times New Roman" w:cs="Times New Roman"/>
              </w:rPr>
              <w:t>JGJ/T 163</w:t>
            </w:r>
            <w:r>
              <w:rPr>
                <w:rFonts w:ascii="Times New Roman" w:hAnsi="Times New Roman" w:cs="Times New Roman"/>
              </w:rPr>
              <w:t>的规定</w:t>
            </w:r>
          </w:p>
        </w:tc>
        <w:tc>
          <w:tcPr>
            <w:tcW w:w="1701" w:type="dxa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tc>
          <w:tcPr>
            <w:tcW w:w="1628" w:type="dxa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 w:hint="eastAsia"/>
                <w:lang w:val="zh-CN"/>
              </w:rPr>
              <w:t>5</w:t>
            </w:r>
          </w:p>
        </w:tc>
      </w:tr>
      <w:tr w:rsidR="00FB6ABA">
        <w:trPr>
          <w:trHeight w:val="340"/>
          <w:jc w:val="center"/>
        </w:trPr>
        <w:tc>
          <w:tcPr>
            <w:tcW w:w="5883" w:type="dxa"/>
            <w:gridSpan w:val="2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28" w:type="dxa"/>
            <w:vAlign w:val="center"/>
          </w:tcPr>
          <w:p w:rsidR="00FB6ABA" w:rsidRDefault="00B84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</w:tr>
    </w:tbl>
    <w:p w:rsidR="00FB6ABA" w:rsidRDefault="00B841C9" w:rsidP="00B841C9">
      <w:pPr>
        <w:spacing w:beforeLines="50" w:afterLines="5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2 </w:t>
      </w:r>
      <w:r>
        <w:rPr>
          <w:rFonts w:ascii="Times New Roman" w:eastAsia="宋体" w:hAnsi="Times New Roman" w:cs="Times New Roman"/>
          <w:b/>
          <w:szCs w:val="21"/>
        </w:rPr>
        <w:t>评价要点</w:t>
      </w:r>
    </w:p>
    <w:p w:rsidR="00FB6ABA" w:rsidRDefault="00B841C9">
      <w:pPr>
        <w:spacing w:line="360" w:lineRule="auto"/>
      </w:pPr>
      <w:r>
        <w:rPr>
          <w:rFonts w:hint="eastAsia"/>
        </w:rPr>
        <w:t>是否采用玻璃幕墙或镜面式铝合金装饰外墙：</w:t>
      </w:r>
      <w:sdt>
        <w:sdtPr>
          <w:id w:val="368810273"/>
        </w:sdtPr>
        <w:sdtContent>
          <w:sdt>
            <w:sdtPr>
              <w:id w:val="10748508"/>
            </w:sdtPr>
            <w:sdtContent>
              <w:sdt>
                <w:sdtPr>
                  <w:id w:val="-519396047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831824224"/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id w:val="1037467397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980216921"/>
            </w:sdtPr>
            <w:sdtContent>
              <w:r>
                <w:rPr>
                  <w:rFonts w:ascii="Wingdings 2" w:hAnsi="Wingdings 2"/>
                  <w:sz w:val="28"/>
                </w:rPr>
                <w:t></w:t>
              </w:r>
            </w:sdtContent>
          </w:sdt>
        </w:sdtContent>
      </w:sdt>
      <w:r>
        <w:rPr>
          <w:rFonts w:hint="eastAsia"/>
        </w:rPr>
        <w:t>否</w:t>
      </w:r>
    </w:p>
    <w:p w:rsidR="00FB6ABA" w:rsidRDefault="00B841C9">
      <w:pPr>
        <w:spacing w:line="360" w:lineRule="auto"/>
      </w:pPr>
      <w:r>
        <w:rPr>
          <w:rFonts w:hint="eastAsia"/>
        </w:rPr>
        <w:t>若采用，则其可见光反射比为：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>。</w:t>
      </w:r>
    </w:p>
    <w:p w:rsidR="00FB6ABA" w:rsidRDefault="00B841C9">
      <w:pPr>
        <w:spacing w:line="360" w:lineRule="auto"/>
      </w:pPr>
      <w:r>
        <w:rPr>
          <w:rFonts w:hint="eastAsia"/>
        </w:rPr>
        <w:t>室外夜景照明的光污染控制情况：</w:t>
      </w:r>
    </w:p>
    <w:tbl>
      <w:tblPr>
        <w:tblW w:w="7909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8"/>
        <w:gridCol w:w="2580"/>
        <w:gridCol w:w="829"/>
        <w:gridCol w:w="829"/>
        <w:gridCol w:w="829"/>
        <w:gridCol w:w="834"/>
      </w:tblGrid>
      <w:tr w:rsidR="00FB6ABA">
        <w:trPr>
          <w:jc w:val="center"/>
        </w:trPr>
        <w:tc>
          <w:tcPr>
            <w:tcW w:w="200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照明技术参数</w:t>
            </w:r>
          </w:p>
        </w:tc>
        <w:tc>
          <w:tcPr>
            <w:tcW w:w="25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应用条件</w:t>
            </w:r>
          </w:p>
        </w:tc>
        <w:tc>
          <w:tcPr>
            <w:tcW w:w="3321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环境区域</w:t>
            </w:r>
          </w:p>
        </w:tc>
      </w:tr>
      <w:tr w:rsidR="00FB6ABA">
        <w:trPr>
          <w:jc w:val="center"/>
        </w:trPr>
        <w:tc>
          <w:tcPr>
            <w:tcW w:w="200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FB6AB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FB6AB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E1</w:t>
            </w:r>
            <w:r>
              <w:rPr>
                <w:rFonts w:ascii="Times New Roman" w:hAnsi="Times New Roman" w:cs="Times New Roman"/>
                <w:szCs w:val="21"/>
              </w:rPr>
              <w:t>区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E2</w:t>
            </w:r>
            <w:r>
              <w:rPr>
                <w:rFonts w:ascii="Times New Roman" w:hAnsi="Times New Roman" w:cs="Times New Roman"/>
                <w:szCs w:val="21"/>
              </w:rPr>
              <w:t>区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E3</w:t>
            </w:r>
            <w:r>
              <w:rPr>
                <w:rFonts w:ascii="Times New Roman" w:hAnsi="Times New Roman" w:cs="Times New Roman"/>
                <w:szCs w:val="21"/>
              </w:rPr>
              <w:t>区</w:t>
            </w:r>
          </w:p>
        </w:tc>
        <w:tc>
          <w:tcPr>
            <w:tcW w:w="8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E4</w:t>
            </w:r>
            <w:r>
              <w:rPr>
                <w:rFonts w:ascii="Times New Roman" w:hAnsi="Times New Roman" w:cs="Times New Roman"/>
                <w:szCs w:val="21"/>
              </w:rPr>
              <w:t>区</w:t>
            </w:r>
          </w:p>
        </w:tc>
      </w:tr>
      <w:tr w:rsidR="00FB6ABA">
        <w:trPr>
          <w:jc w:val="center"/>
        </w:trPr>
        <w:tc>
          <w:tcPr>
            <w:tcW w:w="200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垂直面照度（</w:t>
            </w:r>
            <w:r>
              <w:rPr>
                <w:rFonts w:ascii="Times New Roman" w:hAnsi="Times New Roman" w:cs="Times New Roman"/>
                <w:szCs w:val="21"/>
              </w:rPr>
              <w:t>Ev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(lx)</w:t>
            </w:r>
          </w:p>
        </w:tc>
        <w:tc>
          <w:tcPr>
            <w:tcW w:w="2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熄灯时段前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 w:rsidR="00FB6ABA">
        <w:trPr>
          <w:jc w:val="center"/>
        </w:trPr>
        <w:tc>
          <w:tcPr>
            <w:tcW w:w="200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FB6AB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FB6ABA">
        <w:trPr>
          <w:jc w:val="center"/>
        </w:trPr>
        <w:tc>
          <w:tcPr>
            <w:tcW w:w="2008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灯具发光强度</w:t>
            </w:r>
            <w:r>
              <w:rPr>
                <w:rFonts w:ascii="Times New Roman" w:hAnsi="Times New Roman" w:cs="Times New Roman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cd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熄灯时段前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7500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10000</w:t>
            </w:r>
          </w:p>
        </w:tc>
        <w:tc>
          <w:tcPr>
            <w:tcW w:w="8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25000</w:t>
            </w:r>
          </w:p>
        </w:tc>
      </w:tr>
      <w:tr w:rsidR="00FB6ABA">
        <w:trPr>
          <w:jc w:val="center"/>
        </w:trPr>
        <w:tc>
          <w:tcPr>
            <w:tcW w:w="2008" w:type="dxa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B6ABA" w:rsidRDefault="00FB6AB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0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</w:t>
            </w:r>
          </w:p>
        </w:tc>
        <w:tc>
          <w:tcPr>
            <w:tcW w:w="83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</w:t>
            </w:r>
          </w:p>
        </w:tc>
      </w:tr>
      <w:tr w:rsidR="00FB6ABA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上射光通比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灯具所处位置水平面以上的光通量与灯具总光通量之比（％）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 w:rsidR="00FB6ABA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建筑立面亮度</w:t>
            </w:r>
            <w:r>
              <w:rPr>
                <w:rFonts w:ascii="Times New Roman" w:hAnsi="Times New Roman" w:cs="Times New Roman"/>
                <w:szCs w:val="21"/>
              </w:rPr>
              <w:t>Lb(cd/m2)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被照面平均亮度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 w:rsidR="00FB6ABA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标识亮度</w:t>
            </w:r>
            <w:r>
              <w:rPr>
                <w:rFonts w:ascii="Times New Roman" w:hAnsi="Times New Roman" w:cs="Times New Roman"/>
                <w:szCs w:val="21"/>
              </w:rPr>
              <w:t>Ls(cd/m2)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外投光标识被照面平均亮度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</w:t>
            </w:r>
          </w:p>
        </w:tc>
      </w:tr>
    </w:tbl>
    <w:p w:rsidR="00FB6ABA" w:rsidRDefault="00B841C9">
      <w:pPr>
        <w:spacing w:line="360" w:lineRule="auto"/>
      </w:pPr>
      <w:r>
        <w:rPr>
          <w:rFonts w:hint="eastAsia"/>
        </w:rPr>
        <w:t>居住区和步行区夜景照明灯具的眩光限制值：</w:t>
      </w:r>
    </w:p>
    <w:tbl>
      <w:tblPr>
        <w:tblStyle w:val="a5"/>
        <w:tblW w:w="8162" w:type="dxa"/>
        <w:jc w:val="center"/>
        <w:tblLayout w:type="fixed"/>
        <w:tblLook w:val="04A0"/>
      </w:tblPr>
      <w:tblGrid>
        <w:gridCol w:w="3353"/>
        <w:gridCol w:w="1419"/>
        <w:gridCol w:w="1419"/>
        <w:gridCol w:w="1971"/>
      </w:tblGrid>
      <w:tr w:rsidR="00FB6ABA">
        <w:trPr>
          <w:jc w:val="center"/>
        </w:trPr>
        <w:tc>
          <w:tcPr>
            <w:tcW w:w="3353" w:type="dxa"/>
          </w:tcPr>
          <w:p w:rsidR="00FB6ABA" w:rsidRDefault="00B841C9">
            <w:pPr>
              <w:jc w:val="center"/>
            </w:pPr>
            <w:r>
              <w:rPr>
                <w:rFonts w:hint="eastAsia"/>
              </w:rPr>
              <w:t>安装高度</w:t>
            </w:r>
            <w:r>
              <w:rPr>
                <w:rFonts w:hint="eastAsia"/>
              </w:rPr>
              <w:t>(</w:t>
            </w:r>
            <w:r>
              <w:t>m)</w:t>
            </w:r>
          </w:p>
        </w:tc>
        <w:tc>
          <w:tcPr>
            <w:tcW w:w="1419" w:type="dxa"/>
          </w:tcPr>
          <w:p w:rsidR="00FB6ABA" w:rsidRDefault="00B841C9">
            <w:pPr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4.5</w:t>
            </w:r>
          </w:p>
        </w:tc>
        <w:tc>
          <w:tcPr>
            <w:tcW w:w="1419" w:type="dxa"/>
          </w:tcPr>
          <w:p w:rsidR="00FB6ABA" w:rsidRDefault="00B841C9">
            <w:pPr>
              <w:jc w:val="center"/>
            </w:pP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6</w:t>
            </w:r>
          </w:p>
        </w:tc>
        <w:tc>
          <w:tcPr>
            <w:tcW w:w="1971" w:type="dxa"/>
          </w:tcPr>
          <w:p w:rsidR="00FB6ABA" w:rsidRDefault="00B841C9">
            <w:pPr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6</w:t>
            </w:r>
          </w:p>
        </w:tc>
      </w:tr>
      <w:tr w:rsidR="00FB6ABA">
        <w:trPr>
          <w:jc w:val="center"/>
        </w:trPr>
        <w:tc>
          <w:tcPr>
            <w:tcW w:w="3353" w:type="dxa"/>
          </w:tcPr>
          <w:p w:rsidR="00FB6ABA" w:rsidRDefault="00B841C9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的乘积</w:t>
            </w:r>
          </w:p>
        </w:tc>
        <w:tc>
          <w:tcPr>
            <w:tcW w:w="1419" w:type="dxa"/>
          </w:tcPr>
          <w:p w:rsidR="00FB6ABA" w:rsidRDefault="00B841C9">
            <w:pPr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LA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4000</w:t>
            </w:r>
          </w:p>
        </w:tc>
        <w:tc>
          <w:tcPr>
            <w:tcW w:w="1419" w:type="dxa"/>
          </w:tcPr>
          <w:p w:rsidR="00FB6ABA" w:rsidRDefault="00B841C9">
            <w:pPr>
              <w:jc w:val="center"/>
            </w:pPr>
            <w:r>
              <w:rPr>
                <w:rFonts w:hint="eastAsia"/>
              </w:rPr>
              <w:t>LA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5500</w:t>
            </w:r>
          </w:p>
        </w:tc>
        <w:tc>
          <w:tcPr>
            <w:tcW w:w="1971" w:type="dxa"/>
          </w:tcPr>
          <w:p w:rsidR="00FB6ABA" w:rsidRDefault="00B841C9">
            <w:pPr>
              <w:jc w:val="center"/>
            </w:pPr>
            <w:r>
              <w:rPr>
                <w:rFonts w:hint="eastAsia"/>
              </w:rPr>
              <w:t>LA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7000</w:t>
            </w:r>
          </w:p>
        </w:tc>
      </w:tr>
      <w:tr w:rsidR="00FB6ABA">
        <w:trPr>
          <w:jc w:val="center"/>
        </w:trPr>
        <w:tc>
          <w:tcPr>
            <w:tcW w:w="3353" w:type="dxa"/>
          </w:tcPr>
          <w:p w:rsidR="00FB6ABA" w:rsidRDefault="00B841C9">
            <w:pPr>
              <w:jc w:val="center"/>
            </w:pPr>
            <w:r>
              <w:rPr>
                <w:rFonts w:hint="eastAsia"/>
              </w:rPr>
              <w:t>项目情况</w:t>
            </w:r>
          </w:p>
        </w:tc>
        <w:tc>
          <w:tcPr>
            <w:tcW w:w="1419" w:type="dxa"/>
          </w:tcPr>
          <w:p w:rsidR="00FB6ABA" w:rsidRDefault="00FB6ABA">
            <w:pPr>
              <w:widowControl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9" w:type="dxa"/>
          </w:tcPr>
          <w:p w:rsidR="00FB6ABA" w:rsidRDefault="00FB6ABA">
            <w:pPr>
              <w:jc w:val="center"/>
            </w:pPr>
          </w:p>
        </w:tc>
        <w:tc>
          <w:tcPr>
            <w:tcW w:w="1971" w:type="dxa"/>
          </w:tcPr>
          <w:p w:rsidR="00FB6ABA" w:rsidRDefault="00FB6ABA">
            <w:pPr>
              <w:jc w:val="center"/>
            </w:pPr>
          </w:p>
        </w:tc>
      </w:tr>
    </w:tbl>
    <w:p w:rsidR="00FB6ABA" w:rsidRDefault="00B841C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请简要说明建筑及照明设计控制光污染的措施。</w:t>
      </w:r>
    </w:p>
    <w:tbl>
      <w:tblPr>
        <w:tblStyle w:val="1"/>
        <w:tblW w:w="8296" w:type="dxa"/>
        <w:jc w:val="center"/>
        <w:tblLayout w:type="fixed"/>
        <w:tblLook w:val="04A0"/>
      </w:tblPr>
      <w:tblGrid>
        <w:gridCol w:w="8296"/>
      </w:tblGrid>
      <w:tr w:rsidR="00FB6ABA">
        <w:trPr>
          <w:trHeight w:val="2634"/>
          <w:jc w:val="center"/>
        </w:trPr>
        <w:tc>
          <w:tcPr>
            <w:tcW w:w="8296" w:type="dxa"/>
          </w:tcPr>
          <w:p w:rsidR="00B841C9" w:rsidRDefault="00B841C9">
            <w:pPr>
              <w:ind w:firstLineChars="200" w:firstLine="400"/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lastRenderedPageBreak/>
              <w:t>本工程项目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不设玻璃幕墙，</w:t>
            </w:r>
            <w:r w:rsidRPr="00B841C9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室外夜景照明光污染的限制满足规定，</w:t>
            </w:r>
          </w:p>
          <w:p w:rsidR="00FB6ABA" w:rsidRDefault="00B841C9" w:rsidP="00B841C9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本项目为非玻璃幕墙建筑，室外照明采用截光型灯具，无直射光射入空中，不会对周边</w:t>
            </w:r>
          </w:p>
          <w:p w:rsidR="00FB6ABA" w:rsidRDefault="00B841C9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带来光污染。</w:t>
            </w:r>
          </w:p>
          <w:p w:rsidR="00FB6ABA" w:rsidRDefault="00B841C9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学校室外有路灯，通过室外光污染分析，本项目夜景照明设施在建筑外表面产生的垂直照度、平均亮度、朝居室方向的发光强度、灯具的眩光限制值和上射光通比均符合现行行业标准《城市夜景照明设计规范》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JGJ/T163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的规定，本项目夜景照明的光线被严格控制在了被照区域内，减少了被照区域的溢散光，有效地避免产生光污染。</w:t>
            </w:r>
          </w:p>
        </w:tc>
      </w:tr>
    </w:tbl>
    <w:p w:rsidR="00FB6ABA" w:rsidRDefault="00B841C9" w:rsidP="00B841C9">
      <w:pPr>
        <w:spacing w:beforeLines="50" w:afterLines="5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3 </w:t>
      </w:r>
      <w:r>
        <w:rPr>
          <w:rFonts w:ascii="Times New Roman" w:eastAsia="宋体" w:hAnsi="Times New Roman" w:cs="Times New Roman"/>
          <w:b/>
          <w:szCs w:val="21"/>
        </w:rPr>
        <w:t>证明材料</w:t>
      </w:r>
    </w:p>
    <w:p w:rsidR="00FB6ABA" w:rsidRDefault="00B841C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提交材料及要求：</w:t>
      </w:r>
    </w:p>
    <w:p w:rsidR="00FB6ABA" w:rsidRDefault="00B841C9">
      <w:pPr>
        <w:spacing w:line="360" w:lineRule="auto"/>
      </w:pPr>
      <w:r>
        <w:t>1</w:t>
      </w:r>
      <w:r>
        <w:rPr>
          <w:rFonts w:hint="eastAsia"/>
        </w:rPr>
        <w:t>）建筑专业竣工图纸及设计说明，应包括玻璃幕墙竣工图及说明；</w:t>
      </w:r>
    </w:p>
    <w:p w:rsidR="00FB6ABA" w:rsidRDefault="00B841C9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）玻璃幕墙专项验收报告，包括玻璃幕墙光污染分析专项报告、玻璃的光学性能检验报告、玻璃进场复验报告；</w:t>
      </w:r>
    </w:p>
    <w:p w:rsidR="00FB6ABA" w:rsidRDefault="00B841C9">
      <w:pPr>
        <w:spacing w:line="360" w:lineRule="auto"/>
        <w:ind w:left="210" w:hangingChars="100" w:hanging="210"/>
      </w:pPr>
      <w:r>
        <w:rPr>
          <w:rFonts w:hint="eastAsia"/>
        </w:rPr>
        <w:t>3</w:t>
      </w:r>
      <w:r>
        <w:rPr>
          <w:rFonts w:hint="eastAsia"/>
        </w:rPr>
        <w:t>）室外夜景照明光污染分析报告；</w:t>
      </w:r>
    </w:p>
    <w:p w:rsidR="00FB6ABA" w:rsidRDefault="00B841C9">
      <w:pPr>
        <w:spacing w:line="360" w:lineRule="auto"/>
        <w:ind w:left="210" w:hangingChars="100" w:hanging="210"/>
      </w:pPr>
      <w:r>
        <w:rPr>
          <w:rFonts w:hint="eastAsia"/>
        </w:rPr>
        <w:t>4</w:t>
      </w:r>
      <w:r>
        <w:rPr>
          <w:rFonts w:hint="eastAsia"/>
        </w:rPr>
        <w:t>）灯具的光度检验报告、灯具进场复验报告；</w:t>
      </w:r>
    </w:p>
    <w:p w:rsidR="00FB6ABA" w:rsidRDefault="00B841C9">
      <w:pPr>
        <w:spacing w:line="360" w:lineRule="auto"/>
        <w:ind w:left="210" w:hangingChars="100" w:hanging="210"/>
      </w:pPr>
      <w:r>
        <w:rPr>
          <w:rFonts w:hint="eastAsia"/>
        </w:rPr>
        <w:t>5</w:t>
      </w:r>
      <w:r>
        <w:rPr>
          <w:rFonts w:hint="eastAsia"/>
        </w:rPr>
        <w:t>）照明设计方案，包括照明照度及功率密度计算；</w:t>
      </w:r>
    </w:p>
    <w:p w:rsidR="00FB6ABA" w:rsidRDefault="00B841C9">
      <w:pPr>
        <w:spacing w:line="360" w:lineRule="auto"/>
        <w:ind w:left="210" w:hangingChars="100" w:hanging="210"/>
      </w:pPr>
      <w:r>
        <w:rPr>
          <w:rFonts w:hint="eastAsia"/>
        </w:rPr>
        <w:t>6</w:t>
      </w:r>
      <w:r>
        <w:rPr>
          <w:rFonts w:hint="eastAsia"/>
        </w:rPr>
        <w:t>）泛光照明、景观照明竣工图纸及设计说明。</w:t>
      </w:r>
    </w:p>
    <w:p w:rsidR="00FB6ABA" w:rsidRDefault="00B841C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8296" w:type="dxa"/>
        <w:jc w:val="center"/>
        <w:tblLayout w:type="fixed"/>
        <w:tblLook w:val="04A0"/>
      </w:tblPr>
      <w:tblGrid>
        <w:gridCol w:w="8296"/>
      </w:tblGrid>
      <w:tr w:rsidR="00FB6ABA">
        <w:trPr>
          <w:trHeight w:val="2634"/>
          <w:jc w:val="center"/>
        </w:trPr>
        <w:tc>
          <w:tcPr>
            <w:tcW w:w="8296" w:type="dxa"/>
          </w:tcPr>
          <w:p w:rsidR="00FB6ABA" w:rsidRDefault="00B841C9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无</w:t>
            </w:r>
            <w:bookmarkStart w:id="0" w:name="_GoBack"/>
            <w:bookmarkEnd w:id="0"/>
          </w:p>
        </w:tc>
      </w:tr>
    </w:tbl>
    <w:p w:rsidR="00FB6ABA" w:rsidRDefault="00FB6ABA"/>
    <w:sectPr w:rsidR="00FB6ABA" w:rsidSect="00FB6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447"/>
    <w:rsid w:val="00074A38"/>
    <w:rsid w:val="00082FB3"/>
    <w:rsid w:val="000A6109"/>
    <w:rsid w:val="00410E32"/>
    <w:rsid w:val="00567447"/>
    <w:rsid w:val="005A3A09"/>
    <w:rsid w:val="007F2368"/>
    <w:rsid w:val="00AA68AA"/>
    <w:rsid w:val="00AE0BB6"/>
    <w:rsid w:val="00B841C9"/>
    <w:rsid w:val="00C86FB9"/>
    <w:rsid w:val="00D453F0"/>
    <w:rsid w:val="00E66B50"/>
    <w:rsid w:val="00F50CB0"/>
    <w:rsid w:val="00F63C35"/>
    <w:rsid w:val="00F72F20"/>
    <w:rsid w:val="00FB6ABA"/>
    <w:rsid w:val="00FC712E"/>
    <w:rsid w:val="77B6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BA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6A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FB6AB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6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6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6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FB6A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6ABA"/>
    <w:rPr>
      <w:sz w:val="18"/>
      <w:szCs w:val="18"/>
    </w:rPr>
  </w:style>
  <w:style w:type="character" w:customStyle="1" w:styleId="4Char">
    <w:name w:val="标题 4 Char"/>
    <w:basedOn w:val="a0"/>
    <w:link w:val="4"/>
    <w:rsid w:val="00FB6ABA"/>
    <w:rPr>
      <w:rFonts w:ascii="Times New Roman" w:eastAsia="宋体" w:hAnsi="Times New Roman" w:cs="Times New Roman"/>
      <w:b/>
      <w:bCs/>
      <w:szCs w:val="32"/>
    </w:rPr>
  </w:style>
  <w:style w:type="character" w:styleId="a6">
    <w:name w:val="Placeholder Text"/>
    <w:basedOn w:val="a0"/>
    <w:uiPriority w:val="99"/>
    <w:semiHidden/>
    <w:rsid w:val="00FB6ABA"/>
    <w:rPr>
      <w:color w:val="808080"/>
    </w:rPr>
  </w:style>
  <w:style w:type="table" w:customStyle="1" w:styleId="1">
    <w:name w:val="网格型1"/>
    <w:basedOn w:val="a1"/>
    <w:uiPriority w:val="59"/>
    <w:rsid w:val="00FB6AB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FB6ABA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FB6ABA"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B841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41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dongYP</dc:creator>
  <cp:lastModifiedBy>Administrator</cp:lastModifiedBy>
  <cp:revision>10</cp:revision>
  <dcterms:created xsi:type="dcterms:W3CDTF">2019-07-12T08:17:00Z</dcterms:created>
  <dcterms:modified xsi:type="dcterms:W3CDTF">2021-05-06T11:58:00Z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