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绿色建筑性能评价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申报项目名称： 大海陀自然保护区保护设施及海陀山环境治理建设项目生态监测站建设</w:t>
      </w:r>
    </w:p>
    <w:p>
      <w:pPr>
        <w:jc w:val="left"/>
      </w:pPr>
      <w:r>
        <w:rPr>
          <w:rFonts w:hint="eastAsia" w:ascii="宋体" w:hAnsi="宋体"/>
          <w:bCs/>
          <w:color w:val="000000"/>
          <w:sz w:val="30"/>
          <w:szCs w:val="30"/>
        </w:rPr>
        <w:t>申报单位名称： </w:t>
      </w:r>
    </w:p>
    <w:p>
      <w:pPr>
        <w:jc w:val="left"/>
      </w:pPr>
      <w:r>
        <w:rPr>
          <w:rFonts w:hint="eastAsia" w:ascii="宋体" w:hAnsi="宋体"/>
          <w:bCs/>
          <w:color w:val="000000"/>
          <w:sz w:val="30"/>
          <w:szCs w:val="30"/>
        </w:rPr>
        <w:t>参与单位名称：</w:t>
      </w:r>
    </w:p>
    <w:p>
      <w:pPr>
        <w:jc w:val="left"/>
      </w:pPr>
      <w:r>
        <w:rPr>
          <w:rFonts w:hint="eastAsia" w:ascii="宋体" w:hAnsi="宋体"/>
          <w:bCs/>
          <w:color w:val="000000"/>
          <w:sz w:val="30"/>
          <w:szCs w:val="30"/>
        </w:rPr>
        <w:t>咨询单位名称：</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自评星级：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
      </w:r>
    </w:p>
    <w:p>
      <w:pPr>
        <w:jc w:val="center"/>
      </w:pPr>
      <w:r>
        <w:rPr>
          <w:rFonts w:hint="eastAsia" w:ascii="宋体" w:hAnsi="宋体"/>
          <w:b/>
          <w:bCs/>
          <w:color w:val="000000"/>
          <w:sz w:val="32"/>
          <w:szCs w:val="32"/>
        </w:rPr>
        <w:t>2021年4月20日</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一、自评总述</w:t>
      </w:r>
    </w:p>
    <w:p>
      <w:pPr>
        <w:jc w:val="left"/>
      </w:pPr>
      <w:r>
        <w:rPr>
          <w:rFonts w:hint="eastAsia" w:ascii="宋体" w:hAnsi="宋体"/>
          <w:bCs/>
          <w:color w:val="000000"/>
          <w:sz w:val="30"/>
          <w:szCs w:val="30"/>
        </w:rPr>
        <w:t>1、各类指标的评分项得分均不小于该评分项满分值的30%。√</w:t>
      </w:r>
    </w:p>
    <w:p>
      <w:pPr>
        <w:jc w:val="left"/>
      </w:pPr>
      <w:r>
        <w:rPr>
          <w:rFonts w:hint="eastAsia" w:ascii="宋体" w:hAnsi="宋体"/>
          <w:bCs/>
          <w:color w:val="000000"/>
          <w:sz w:val="30"/>
          <w:szCs w:val="30"/>
        </w:rPr>
        <w:t>2、全装修…………………………………………………………√</w:t>
      </w:r>
    </w:p>
    <w:p>
      <w:pPr>
        <w:jc w:val="left"/>
      </w:pPr>
      <w:r>
        <w:rPr>
          <w:rFonts w:hint="eastAsia" w:ascii="宋体" w:hAnsi="宋体"/>
          <w:bCs/>
          <w:color w:val="000000"/>
          <w:sz w:val="30"/>
          <w:szCs w:val="30"/>
        </w:rPr>
        <w:t>3、技术要求：</w:t>
      </w:r>
    </w:p>
    <w:p>
      <w:pPr>
        <w:jc w:val="center"/>
      </w:pPr>
      <w:r>
        <w:rPr>
          <w:rFonts w:hint="eastAsia" w:ascii="宋体" w:hAnsi="宋体"/>
          <w:bCs/>
          <w:color w:val="000000"/>
          <w:sz w:val="24"/>
          <w:szCs w:val="24"/>
        </w:rPr>
        <w:t/>
      </w:r>
    </w:p>
    <w:p>
      <w:pPr>
        <w:jc w:val="left"/>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4"/>
                <w:szCs w:val="24"/>
              </w:rPr>
              <w:t>技术指标内容</w:t>
            </w:r>
          </w:p>
        </w:tc>
        <w:tc>
          <w:tcPr>
            <w:tcW w:w="1900" w:type="dxa"/>
            <w:vAlign w:val="center"/>
          </w:tcPr>
          <w:p>
            <w:pPr>
              <w:jc w:val="center"/>
            </w:pPr>
            <w:r>
              <w:rPr>
                <w:rFonts w:hint="eastAsia" w:ascii="宋体" w:hAnsi="宋体"/>
                <w:bCs/>
                <w:color w:val="000000"/>
                <w:sz w:val="24"/>
                <w:szCs w:val="24"/>
              </w:rPr>
              <w:t>自评情况</w:t>
            </w:r>
          </w:p>
        </w:tc>
        <w:tc>
          <w:tcPr>
            <w:tcW w:w="1900" w:type="dxa"/>
            <w:vAlign w:val="center"/>
          </w:tcPr>
          <w:p>
            <w:pPr>
              <w:jc w:val="center"/>
            </w:pPr>
            <w:r>
              <w:rPr>
                <w:rFonts w:hint="eastAsia" w:ascii="宋体" w:hAnsi="宋体"/>
                <w:bCs/>
                <w:color w:val="000000"/>
                <w:sz w:val="24"/>
                <w:szCs w:val="24"/>
              </w:rPr>
              <w:t>申报星级要求</w:t>
            </w:r>
          </w:p>
        </w:tc>
        <w:tc>
          <w:tcPr>
            <w:tcW w:w="1900" w:type="dxa"/>
            <w:vAlign w:val="center"/>
          </w:tcPr>
          <w:p>
            <w:pPr>
              <w:jc w:val="center"/>
            </w:pPr>
            <w:r>
              <w:rPr>
                <w:rFonts w:hint="eastAsia" w:ascii="宋体" w:hAnsi="宋体"/>
                <w:bCs/>
                <w:color w:val="000000"/>
                <w:sz w:val="24"/>
                <w:szCs w:val="24"/>
              </w:rPr>
              <w:t>是否达标</w:t>
            </w:r>
          </w:p>
        </w:tc>
      </w:tr>
      <w:tr>
        <w:tc>
          <w:tcPr>
            <w:tcW w:w="3500" w:type="dxa"/>
            <w:vAlign w:val="center"/>
          </w:tcPr>
          <w:p>
            <w:pPr>
              <w:jc w:val="center"/>
            </w:pPr>
            <w:r>
              <w:rPr>
                <w:rFonts w:hint="eastAsia" w:ascii="宋体" w:hAnsi="宋体"/>
                <w:bCs/>
                <w:color w:val="000000"/>
                <w:sz w:val="24"/>
                <w:szCs w:val="24"/>
              </w:rPr>
              <w:t>围护结构热工性能的提高比例，或建筑供暖空调负荷降低比例</w:t>
            </w:r>
          </w:p>
        </w:tc>
        <w:tc>
          <w:tcPr>
            <w:tcW w:w="1900" w:type="dxa"/>
            <w:vAlign w:val="center"/>
          </w:tcPr>
          <w:p>
            <w:pPr>
              <w:jc w:val="center"/>
            </w:pPr>
            <w:r>
              <w:rPr>
                <w:rFonts w:hint="eastAsia" w:ascii="宋体" w:hAnsi="宋体"/>
                <w:bCs/>
                <w:color w:val="000000"/>
                <w:sz w:val="24"/>
                <w:szCs w:val="24"/>
              </w:rPr>
              <w:t>围护结构提高10%或负荷降低10%</w:t>
            </w:r>
          </w:p>
        </w:tc>
        <w:tc>
          <w:tcPr>
            <w:tcW w:w="1900" w:type="dxa"/>
            <w:vAlign w:val="center"/>
          </w:tcPr>
          <w:p>
            <w:pPr>
              <w:jc w:val="center"/>
            </w:pPr>
            <w:r>
              <w:rPr>
                <w:rFonts w:hint="eastAsia" w:ascii="宋体" w:hAnsi="宋体"/>
                <w:bCs/>
                <w:color w:val="000000"/>
                <w:sz w:val="24"/>
                <w:szCs w:val="24"/>
              </w:rPr>
              <w:t>围护结构提高10%或负荷降低10%</w:t>
            </w:r>
          </w:p>
        </w:tc>
        <w:tc>
          <w:tcPr>
            <w:tcW w:w="1900" w:type="dxa"/>
            <w:vAlign w:val="center"/>
          </w:tcPr>
          <w:p>
            <w:pPr>
              <w:jc w:val="center"/>
            </w:pPr>
            <w:r>
              <w:rPr>
                <w:rFonts w:hint="eastAsia" w:ascii="宋体" w:hAnsi="宋体"/>
                <w:bCs/>
                <w:color w:val="000000"/>
                <w:sz w:val="24"/>
                <w:szCs w:val="24"/>
              </w:rPr>
              <w:t>是</w:t>
            </w:r>
          </w:p>
        </w:tc>
      </w:tr>
      <w:tr>
        <w:tc>
          <w:tcPr>
            <w:tcW w:w="3500" w:type="dxa"/>
            <w:vAlign w:val="center"/>
          </w:tcPr>
          <w:p>
            <w:pPr>
              <w:jc w:val="center"/>
            </w:pPr>
            <w:r>
              <w:rPr>
                <w:rFonts w:hint="eastAsia" w:ascii="宋体" w:hAnsi="宋体"/>
                <w:bCs/>
                <w:color w:val="000000"/>
                <w:sz w:val="24"/>
                <w:szCs w:val="24"/>
              </w:rPr>
              <w:t>主要功能房间照明功率密度</w:t>
            </w:r>
          </w:p>
        </w:tc>
        <w:tc>
          <w:tcPr>
            <w:tcW w:w="1900" w:type="dxa"/>
            <w:vAlign w:val="center"/>
          </w:tcPr>
          <w:p>
            <w:pPr>
              <w:jc w:val="center"/>
            </w:pPr>
            <w:r>
              <w:rPr>
                <w:rFonts w:hint="eastAsia" w:ascii="宋体" w:hAnsi="宋体"/>
                <w:bCs/>
                <w:color w:val="000000"/>
                <w:sz w:val="24"/>
                <w:szCs w:val="24"/>
              </w:rPr>
              <w:t>不高于现行值</w:t>
            </w:r>
          </w:p>
        </w:tc>
        <w:tc>
          <w:tcPr>
            <w:tcW w:w="1900" w:type="dxa"/>
            <w:vAlign w:val="center"/>
          </w:tcPr>
          <w:p>
            <w:pPr>
              <w:jc w:val="center"/>
            </w:pPr>
            <w:r>
              <w:rPr>
                <w:rFonts w:hint="eastAsia" w:ascii="宋体" w:hAnsi="宋体"/>
                <w:bCs/>
                <w:color w:val="000000"/>
                <w:sz w:val="24"/>
                <w:szCs w:val="24"/>
              </w:rPr>
              <w:t>不高于现行值</w:t>
            </w:r>
          </w:p>
        </w:tc>
        <w:tc>
          <w:tcPr>
            <w:tcW w:w="1900" w:type="dxa"/>
            <w:vAlign w:val="center"/>
          </w:tcPr>
          <w:p>
            <w:pPr>
              <w:jc w:val="center"/>
            </w:pPr>
            <w:r>
              <w:rPr>
                <w:rFonts w:hint="eastAsia" w:ascii="宋体" w:hAnsi="宋体"/>
                <w:bCs/>
                <w:color w:val="000000"/>
                <w:sz w:val="24"/>
                <w:szCs w:val="24"/>
              </w:rPr>
              <w:t>是</w:t>
            </w:r>
          </w:p>
        </w:tc>
      </w:tr>
      <w:tr>
        <w:tc>
          <w:tcPr>
            <w:tcW w:w="3500" w:type="dxa"/>
            <w:vAlign w:val="center"/>
          </w:tcPr>
          <w:p>
            <w:pPr>
              <w:jc w:val="center"/>
            </w:pPr>
            <w:r>
              <w:rPr>
                <w:rFonts w:hint="eastAsia" w:ascii="宋体" w:hAnsi="宋体"/>
                <w:bCs/>
                <w:color w:val="000000"/>
                <w:sz w:val="24"/>
                <w:szCs w:val="24"/>
              </w:rPr>
              <w:t>节水器具用水效率等级</w:t>
            </w:r>
          </w:p>
        </w:tc>
        <w:tc>
          <w:tcPr>
            <w:tcW w:w="1900" w:type="dxa"/>
            <w:vAlign w:val="center"/>
          </w:tcPr>
          <w:p>
            <w:pPr>
              <w:jc w:val="center"/>
            </w:pPr>
            <w:r>
              <w:rPr>
                <w:rFonts w:hint="eastAsia" w:ascii="宋体" w:hAnsi="宋体"/>
                <w:bCs/>
                <w:color w:val="000000"/>
                <w:sz w:val="24"/>
                <w:szCs w:val="24"/>
              </w:rPr>
              <w:t>2级</w:t>
            </w:r>
          </w:p>
        </w:tc>
        <w:tc>
          <w:tcPr>
            <w:tcW w:w="1900" w:type="dxa"/>
            <w:vAlign w:val="center"/>
          </w:tcPr>
          <w:p>
            <w:pPr>
              <w:jc w:val="center"/>
            </w:pPr>
            <w:r>
              <w:rPr>
                <w:rFonts w:hint="eastAsia" w:ascii="宋体" w:hAnsi="宋体"/>
                <w:bCs/>
                <w:color w:val="000000"/>
                <w:sz w:val="24"/>
                <w:szCs w:val="24"/>
              </w:rPr>
              <w:t>2级</w:t>
            </w:r>
          </w:p>
        </w:tc>
        <w:tc>
          <w:tcPr>
            <w:tcW w:w="1900" w:type="dxa"/>
            <w:vAlign w:val="center"/>
          </w:tcPr>
          <w:p>
            <w:pPr>
              <w:jc w:val="center"/>
            </w:pPr>
            <w:r>
              <w:rPr>
                <w:rFonts w:hint="eastAsia" w:ascii="宋体" w:hAnsi="宋体"/>
                <w:bCs/>
                <w:color w:val="000000"/>
                <w:sz w:val="24"/>
                <w:szCs w:val="24"/>
              </w:rPr>
              <w:t>是</w:t>
            </w:r>
          </w:p>
        </w:tc>
      </w:tr>
      <w:tr>
        <w:tc>
          <w:tcPr>
            <w:tcW w:w="3500" w:type="dxa"/>
            <w:vAlign w:val="center"/>
          </w:tcPr>
          <w:p>
            <w:pPr>
              <w:jc w:val="center"/>
            </w:pPr>
            <w:r>
              <w:rPr>
                <w:rFonts w:hint="eastAsia" w:ascii="宋体" w:hAnsi="宋体"/>
                <w:bCs/>
                <w:color w:val="000000"/>
                <w:sz w:val="24"/>
                <w:szCs w:val="24"/>
              </w:rPr>
              <w:t>室内主要空气污染物浓度降低比例</w:t>
            </w:r>
          </w:p>
        </w:tc>
        <w:tc>
          <w:tcPr>
            <w:tcW w:w="1900" w:type="dxa"/>
            <w:vAlign w:val="center"/>
          </w:tcPr>
          <w:p>
            <w:pPr>
              <w:jc w:val="center"/>
            </w:pPr>
            <w:r>
              <w:rPr>
                <w:rFonts w:hint="eastAsia" w:ascii="宋体" w:hAnsi="宋体"/>
                <w:bCs/>
                <w:color w:val="000000"/>
                <w:sz w:val="24"/>
                <w:szCs w:val="24"/>
              </w:rPr>
              <w:t>20%</w:t>
            </w:r>
          </w:p>
        </w:tc>
        <w:tc>
          <w:tcPr>
            <w:tcW w:w="1900" w:type="dxa"/>
            <w:vAlign w:val="center"/>
          </w:tcPr>
          <w:p>
            <w:pPr>
              <w:jc w:val="center"/>
            </w:pPr>
            <w:r>
              <w:rPr>
                <w:rFonts w:hint="eastAsia" w:ascii="宋体" w:hAnsi="宋体"/>
                <w:bCs/>
                <w:color w:val="000000"/>
                <w:sz w:val="24"/>
                <w:szCs w:val="24"/>
              </w:rPr>
              <w:t>20%</w:t>
            </w:r>
          </w:p>
        </w:tc>
        <w:tc>
          <w:tcPr>
            <w:tcW w:w="1900" w:type="dxa"/>
            <w:vAlign w:val="center"/>
          </w:tcPr>
          <w:p>
            <w:pPr>
              <w:jc w:val="center"/>
            </w:pPr>
            <w:r>
              <w:rPr>
                <w:rFonts w:hint="eastAsia" w:ascii="宋体" w:hAnsi="宋体"/>
                <w:bCs/>
                <w:color w:val="000000"/>
                <w:sz w:val="24"/>
                <w:szCs w:val="24"/>
              </w:rPr>
              <w:t>是</w:t>
            </w:r>
          </w:p>
        </w:tc>
      </w:tr>
      <w:tr>
        <w:tc>
          <w:tcPr>
            <w:tcW w:w="3500" w:type="dxa"/>
            <w:vAlign w:val="center"/>
          </w:tcPr>
          <w:p>
            <w:pPr>
              <w:jc w:val="center"/>
            </w:pPr>
            <w:r>
              <w:rPr>
                <w:rFonts w:hint="eastAsia" w:ascii="宋体" w:hAnsi="宋体"/>
                <w:bCs/>
                <w:color w:val="000000"/>
                <w:sz w:val="24"/>
                <w:szCs w:val="24"/>
              </w:rPr>
              <w:t>外窗气密性能</w:t>
            </w:r>
          </w:p>
        </w:tc>
        <w:tc>
          <w:tcPr>
            <w:tcW w:w="1900" w:type="dxa"/>
            <w:vAlign w:val="center"/>
          </w:tcPr>
          <w:p>
            <w:pPr>
              <w:jc w:val="center"/>
            </w:pPr>
            <w:r>
              <w:rPr>
                <w:rFonts w:hint="eastAsia" w:ascii="宋体" w:hAnsi="宋体"/>
                <w:bCs/>
                <w:color w:val="000000"/>
                <w:sz w:val="24"/>
                <w:szCs w:val="24"/>
              </w:rPr>
              <w:t>气密性等级应为7级</w:t>
            </w:r>
          </w:p>
        </w:tc>
        <w:tc>
          <w:tcPr>
            <w:tcW w:w="1900" w:type="dxa"/>
            <w:vAlign w:val="center"/>
          </w:tcPr>
          <w:p>
            <w:pPr>
              <w:jc w:val="center"/>
            </w:pPr>
            <w:r>
              <w:rPr>
                <w:rFonts w:hint="eastAsia" w:ascii="宋体" w:hAnsi="宋体"/>
                <w:bCs/>
                <w:color w:val="000000"/>
                <w:sz w:val="24"/>
                <w:szCs w:val="24"/>
              </w:rPr>
              <w:t>气密性等级应为7级</w:t>
            </w:r>
          </w:p>
        </w:tc>
        <w:tc>
          <w:tcPr>
            <w:tcW w:w="1900" w:type="dxa"/>
            <w:vAlign w:val="center"/>
          </w:tcPr>
          <w:p>
            <w:pPr>
              <w:jc w:val="center"/>
            </w:pPr>
            <w:r>
              <w:rPr>
                <w:rFonts w:hint="eastAsia" w:ascii="宋体" w:hAnsi="宋体"/>
                <w:bCs/>
                <w:color w:val="000000"/>
                <w:sz w:val="24"/>
                <w:szCs w:val="24"/>
              </w:rPr>
              <w:t>是</w:t>
            </w:r>
          </w:p>
        </w:tc>
      </w:tr>
    </w:tbl>
    <w:p>
      <w:pPr>
        <w:jc w:val="left"/>
      </w:pPr>
      <w:r>
        <w:rPr>
          <w:rFonts w:hint="eastAsia" w:ascii="宋体" w:hAnsi="宋体"/>
          <w:bCs/>
          <w:color w:val="000000"/>
          <w:sz w:val="24"/>
          <w:szCs w:val="24"/>
          <w:u w:val="single"/>
        </w:rPr>
        <w:t/>
      </w:r>
    </w:p>
    <w:p>
      <w:pPr>
        <w:jc w:val="left"/>
      </w:pPr>
      <w:r>
        <w:rPr>
          <w:rFonts w:hint="eastAsia" w:ascii="宋体" w:hAnsi="宋体"/>
          <w:bCs/>
          <w:color w:val="000000"/>
          <w:sz w:val="24"/>
          <w:szCs w:val="24"/>
        </w:rPr>
        <w:t/>
      </w:r>
      <w:r>
        <w:rPr>
          <w:rFonts w:hint="eastAsia" w:ascii="宋体" w:hAnsi="宋体"/>
          <w:bCs/>
          <w:color w:val="000000"/>
          <w:sz w:val="24"/>
          <w:szCs w:val="24"/>
        </w:rPr>
        <w:t>4、得分情况：</w:t>
      </w:r>
    </w:p>
    <w:p>
      <w:pPr>
        <w:jc w:val="center"/>
      </w:pPr>
      <w:r>
        <w:rPr>
          <w:rFonts w:hint="eastAsia" w:ascii="宋体" w:hAnsi="宋体"/>
          <w:bCs/>
          <w:color w:val="000000"/>
          <w:sz w:val="24"/>
          <w:szCs w:val="24"/>
        </w:rPr>
        <w:t>评价指标体系评分项</w:t>
      </w:r>
    </w:p>
    <w:p>
      <w:pPr>
        <w:jc w:val="center"/>
      </w:pPr>
      <w:r>
        <w:rPr>
          <w:rFonts w:hint="eastAsia" w:ascii="宋体" w:hAnsi="宋体"/>
          <w:bCs/>
          <w:color w:val="000000"/>
          <w:sz w:val="24"/>
          <w:szCs w:val="24"/>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4"/>
                <w:szCs w:val="24"/>
              </w:rPr>
              <w:t/>
            </w:r>
          </w:p>
        </w:tc>
        <w:tc>
          <w:tcPr>
            <w:tcW w:w="1900" w:type="dxa"/>
            <w:vAlign w:val="center"/>
          </w:tcPr>
          <w:p>
            <w:pPr>
              <w:jc w:val="center"/>
            </w:pPr>
            <w:r>
              <w:rPr>
                <w:rFonts w:hint="eastAsia" w:ascii="宋体" w:hAnsi="宋体"/>
                <w:bCs/>
                <w:color w:val="000000"/>
                <w:sz w:val="24"/>
                <w:szCs w:val="24"/>
              </w:rPr>
              <w:t>控制项</w:t>
            </w:r>
          </w:p>
        </w:tc>
        <w:tc>
          <w:tcPr>
            <w:tcW w:w="1900" w:type="dxa"/>
            <w:vAlign w:val="center"/>
          </w:tcPr>
          <w:p>
            <w:pPr>
              <w:jc w:val="center"/>
            </w:pPr>
            <w:r>
              <w:rPr>
                <w:rFonts w:hint="eastAsia" w:ascii="宋体" w:hAnsi="宋体"/>
                <w:bCs/>
                <w:color w:val="000000"/>
                <w:sz w:val="24"/>
                <w:szCs w:val="24"/>
              </w:rPr>
              <w:t>安全耐久</w:t>
            </w:r>
          </w:p>
        </w:tc>
        <w:tc>
          <w:tcPr>
            <w:tcW w:w="1900" w:type="dxa"/>
            <w:vAlign w:val="center"/>
          </w:tcPr>
          <w:p>
            <w:pPr>
              <w:jc w:val="center"/>
            </w:pPr>
            <w:r>
              <w:rPr>
                <w:rFonts w:hint="eastAsia" w:ascii="宋体" w:hAnsi="宋体"/>
                <w:bCs/>
                <w:color w:val="000000"/>
                <w:sz w:val="24"/>
                <w:szCs w:val="24"/>
              </w:rPr>
              <w:t>健康舒适</w:t>
            </w:r>
          </w:p>
        </w:tc>
        <w:tc>
          <w:tcPr>
            <w:tcW w:w="1900" w:type="dxa"/>
            <w:vAlign w:val="center"/>
          </w:tcPr>
          <w:p>
            <w:pPr>
              <w:jc w:val="center"/>
            </w:pPr>
            <w:r>
              <w:rPr>
                <w:rFonts w:hint="eastAsia" w:ascii="宋体" w:hAnsi="宋体"/>
                <w:bCs/>
                <w:color w:val="000000"/>
                <w:sz w:val="24"/>
                <w:szCs w:val="24"/>
              </w:rPr>
              <w:t>生活便利</w:t>
            </w:r>
          </w:p>
        </w:tc>
        <w:tc>
          <w:tcPr>
            <w:tcW w:w="1900" w:type="dxa"/>
            <w:vAlign w:val="center"/>
          </w:tcPr>
          <w:p>
            <w:pPr>
              <w:jc w:val="center"/>
            </w:pPr>
            <w:r>
              <w:rPr>
                <w:rFonts w:hint="eastAsia" w:ascii="宋体" w:hAnsi="宋体"/>
                <w:bCs/>
                <w:color w:val="000000"/>
                <w:sz w:val="24"/>
                <w:szCs w:val="24"/>
              </w:rPr>
              <w:t>资源节约</w:t>
            </w:r>
          </w:p>
        </w:tc>
        <w:tc>
          <w:tcPr>
            <w:tcW w:w="1900" w:type="dxa"/>
            <w:vAlign w:val="center"/>
          </w:tcPr>
          <w:p>
            <w:pPr>
              <w:jc w:val="center"/>
            </w:pPr>
            <w:r>
              <w:rPr>
                <w:rFonts w:hint="eastAsia" w:ascii="宋体" w:hAnsi="宋体"/>
                <w:bCs/>
                <w:color w:val="000000"/>
                <w:sz w:val="24"/>
                <w:szCs w:val="24"/>
              </w:rPr>
              <w:t>环境宜居</w:t>
            </w:r>
          </w:p>
        </w:tc>
        <w:tc>
          <w:tcPr>
            <w:tcW w:w="1000" w:type="dxa"/>
            <w:vAlign w:val="center"/>
          </w:tcPr>
          <w:p>
            <w:pPr>
              <w:jc w:val="center"/>
            </w:pPr>
            <w:r>
              <w:rPr>
                <w:rFonts w:hint="eastAsia" w:ascii="宋体" w:hAnsi="宋体"/>
                <w:bCs/>
                <w:color w:val="000000"/>
                <w:sz w:val="24"/>
                <w:szCs w:val="24"/>
              </w:rPr>
              <w:t>提高与创新</w:t>
            </w:r>
          </w:p>
        </w:tc>
      </w:tr>
      <w:tr>
        <w:tc>
          <w:tcPr>
            <w:tcW w:w="1" w:type="dxa"/>
            <w:vAlign w:val="center"/>
          </w:tcPr>
          <w:p>
            <w:pPr>
              <w:jc w:val="center"/>
            </w:pPr>
            <w:r>
              <w:rPr>
                <w:rFonts w:hint="eastAsia" w:ascii="宋体" w:hAnsi="宋体"/>
                <w:bCs/>
                <w:color w:val="000000"/>
                <w:sz w:val="24"/>
                <w:szCs w:val="24"/>
              </w:rPr>
              <w:t>评价分值</w:t>
            </w:r>
          </w:p>
        </w:tc>
        <w:tc>
          <w:tcPr>
            <w:tcW w:w="1900" w:type="dxa"/>
            <w:vAlign w:val="center"/>
          </w:tcPr>
          <w:p>
            <w:pPr>
              <w:jc w:val="center"/>
            </w:pPr>
            <w:r>
              <w:rPr>
                <w:rFonts w:hint="eastAsia" w:ascii="宋体" w:hAnsi="宋体"/>
                <w:bCs/>
                <w:color w:val="000000"/>
                <w:sz w:val="24"/>
                <w:szCs w:val="24"/>
              </w:rPr>
              <w:t>400</w:t>
            </w:r>
          </w:p>
        </w:tc>
        <w:tc>
          <w:tcPr>
            <w:tcW w:w="1900" w:type="dxa"/>
            <w:vAlign w:val="center"/>
          </w:tcPr>
          <w:p>
            <w:pPr>
              <w:jc w:val="center"/>
            </w:pPr>
            <w:r>
              <w:rPr>
                <w:rFonts w:hint="eastAsia" w:ascii="宋体" w:hAnsi="宋体"/>
                <w:bCs/>
                <w:color w:val="000000"/>
                <w:sz w:val="24"/>
                <w:szCs w:val="24"/>
              </w:rPr>
              <w:t>100</w:t>
            </w:r>
          </w:p>
        </w:tc>
        <w:tc>
          <w:tcPr>
            <w:tcW w:w="1900" w:type="dxa"/>
            <w:vAlign w:val="center"/>
          </w:tcPr>
          <w:p>
            <w:pPr>
              <w:jc w:val="center"/>
            </w:pPr>
            <w:r>
              <w:rPr>
                <w:rFonts w:hint="eastAsia" w:ascii="宋体" w:hAnsi="宋体"/>
                <w:bCs/>
                <w:color w:val="000000"/>
                <w:sz w:val="24"/>
                <w:szCs w:val="24"/>
              </w:rPr>
              <w:t>100</w:t>
            </w:r>
          </w:p>
        </w:tc>
        <w:tc>
          <w:tcPr>
            <w:tcW w:w="1900" w:type="dxa"/>
            <w:vAlign w:val="center"/>
          </w:tcPr>
          <w:p>
            <w:pPr>
              <w:jc w:val="center"/>
            </w:pPr>
            <w:r>
              <w:rPr>
                <w:rFonts w:hint="eastAsia" w:ascii="宋体" w:hAnsi="宋体"/>
                <w:bCs/>
                <w:color w:val="000000"/>
                <w:sz w:val="24"/>
                <w:szCs w:val="24"/>
              </w:rPr>
              <w:t>100</w:t>
            </w:r>
          </w:p>
        </w:tc>
        <w:tc>
          <w:tcPr>
            <w:tcW w:w="1900" w:type="dxa"/>
            <w:vAlign w:val="center"/>
          </w:tcPr>
          <w:p>
            <w:pPr>
              <w:jc w:val="center"/>
            </w:pPr>
            <w:r>
              <w:rPr>
                <w:rFonts w:hint="eastAsia" w:ascii="宋体" w:hAnsi="宋体"/>
                <w:bCs/>
                <w:color w:val="000000"/>
                <w:sz w:val="24"/>
                <w:szCs w:val="24"/>
              </w:rPr>
              <w:t>200</w:t>
            </w:r>
          </w:p>
        </w:tc>
        <w:tc>
          <w:tcPr>
            <w:tcW w:w="1900" w:type="dxa"/>
            <w:vAlign w:val="center"/>
          </w:tcPr>
          <w:p>
            <w:pPr>
              <w:jc w:val="center"/>
            </w:pPr>
            <w:r>
              <w:rPr>
                <w:rFonts w:hint="eastAsia" w:ascii="宋体" w:hAnsi="宋体"/>
                <w:bCs/>
                <w:color w:val="000000"/>
                <w:sz w:val="24"/>
                <w:szCs w:val="24"/>
              </w:rPr>
              <w:t>100</w:t>
            </w:r>
          </w:p>
        </w:tc>
        <w:tc>
          <w:tcPr>
            <w:tcW w:w="1" w:type="dxa"/>
            <w:vAlign w:val="center"/>
          </w:tcPr>
          <w:p>
            <w:pPr>
              <w:jc w:val="center"/>
            </w:pPr>
            <w:r>
              <w:rPr>
                <w:rFonts w:hint="eastAsia" w:ascii="宋体" w:hAnsi="宋体"/>
                <w:bCs/>
                <w:color w:val="000000"/>
                <w:sz w:val="24"/>
                <w:szCs w:val="24"/>
              </w:rPr>
              <w:t>100</w:t>
            </w:r>
          </w:p>
        </w:tc>
      </w:tr>
      <w:tr>
        <w:tc>
          <w:tcPr>
            <w:tcW w:w="1400" w:type="dxa"/>
            <w:vAlign w:val="center"/>
          </w:tcPr>
          <w:p>
            <w:pPr>
              <w:jc w:val="center"/>
            </w:pPr>
            <w:r>
              <w:rPr>
                <w:rFonts w:hint="eastAsia" w:ascii="宋体" w:hAnsi="宋体"/>
                <w:bCs/>
                <w:color w:val="000000"/>
                <w:sz w:val="24"/>
                <w:szCs w:val="24"/>
              </w:rPr>
              <w:t>自评得分</w:t>
            </w:r>
          </w:p>
        </w:tc>
        <w:tc>
          <w:tcPr>
            <w:tcW w:w="1200" w:type="dxa"/>
            <w:vAlign w:val="center"/>
          </w:tcPr>
          <w:p>
            <w:pPr>
              <w:jc w:val="center"/>
            </w:pPr>
            <w:r>
              <w:rPr>
                <w:rFonts w:hint="eastAsia" w:ascii="宋体" w:hAnsi="宋体"/>
                <w:bCs/>
                <w:color w:val="000000"/>
                <w:sz w:val="24"/>
                <w:szCs w:val="24"/>
              </w:rPr>
              <w:t>400</w:t>
            </w:r>
          </w:p>
        </w:tc>
        <w:tc>
          <w:tcPr>
            <w:tcW w:w="1200" w:type="dxa"/>
            <w:vAlign w:val="center"/>
          </w:tcPr>
          <w:p>
            <w:pPr>
              <w:jc w:val="center"/>
            </w:pPr>
            <w:r>
              <w:rPr>
                <w:rFonts w:hint="eastAsia" w:ascii="宋体" w:hAnsi="宋体"/>
                <w:bCs/>
                <w:color w:val="000000"/>
                <w:sz w:val="24"/>
                <w:szCs w:val="24"/>
              </w:rPr>
              <w:t>51.0</w:t>
            </w:r>
          </w:p>
        </w:tc>
        <w:tc>
          <w:tcPr>
            <w:tcW w:w="1200" w:type="dxa"/>
            <w:vAlign w:val="center"/>
          </w:tcPr>
          <w:p>
            <w:pPr>
              <w:jc w:val="center"/>
            </w:pPr>
            <w:r>
              <w:rPr>
                <w:rFonts w:hint="eastAsia" w:ascii="宋体" w:hAnsi="宋体"/>
                <w:bCs/>
                <w:color w:val="000000"/>
                <w:sz w:val="24"/>
                <w:szCs w:val="24"/>
              </w:rPr>
              <w:t>68.0</w:t>
            </w:r>
          </w:p>
        </w:tc>
        <w:tc>
          <w:tcPr>
            <w:tcW w:w="1200" w:type="dxa"/>
            <w:vAlign w:val="center"/>
          </w:tcPr>
          <w:p>
            <w:pPr>
              <w:jc w:val="center"/>
            </w:pPr>
            <w:r>
              <w:rPr>
                <w:rFonts w:hint="eastAsia" w:ascii="宋体" w:hAnsi="宋体"/>
                <w:bCs/>
                <w:color w:val="000000"/>
                <w:sz w:val="24"/>
                <w:szCs w:val="24"/>
              </w:rPr>
              <w:t>50.0</w:t>
            </w:r>
          </w:p>
        </w:tc>
        <w:tc>
          <w:tcPr>
            <w:tcW w:w="1400" w:type="dxa"/>
            <w:vAlign w:val="center"/>
          </w:tcPr>
          <w:p>
            <w:pPr>
              <w:jc w:val="center"/>
            </w:pPr>
            <w:r>
              <w:rPr>
                <w:rFonts w:hint="eastAsia" w:ascii="宋体" w:hAnsi="宋体"/>
                <w:bCs/>
                <w:color w:val="000000"/>
                <w:sz w:val="24"/>
                <w:szCs w:val="24"/>
              </w:rPr>
              <w:t>97.0</w:t>
            </w:r>
          </w:p>
        </w:tc>
        <w:tc>
          <w:tcPr>
            <w:tcW w:w="1200" w:type="dxa"/>
            <w:vAlign w:val="center"/>
          </w:tcPr>
          <w:p>
            <w:pPr>
              <w:jc w:val="center"/>
            </w:pPr>
            <w:r>
              <w:rPr>
                <w:rFonts w:hint="eastAsia" w:ascii="宋体" w:hAnsi="宋体"/>
                <w:bCs/>
                <w:color w:val="000000"/>
                <w:sz w:val="24"/>
                <w:szCs w:val="24"/>
              </w:rPr>
              <w:t>42.0</w:t>
            </w:r>
          </w:p>
        </w:tc>
        <w:tc>
          <w:tcPr>
            <w:tcW w:w="1" w:type="dxa"/>
            <w:vAlign w:val="center"/>
          </w:tcPr>
          <w:p>
            <w:pPr>
              <w:jc w:val="center"/>
            </w:pPr>
            <w:r>
              <w:rPr>
                <w:rFonts w:hint="eastAsia" w:ascii="宋体" w:hAnsi="宋体"/>
                <w:bCs/>
                <w:color w:val="000000"/>
                <w:sz w:val="24"/>
                <w:szCs w:val="24"/>
              </w:rPr>
              <w:t>10.0</w:t>
            </w:r>
          </w:p>
        </w:tc>
      </w:tr>
    </w:tbl>
    <w:p>
      <w:pPr>
        <w:jc w:val="center"/>
      </w:pPr>
      <w:r>
        <w:rPr>
          <w:rFonts w:hint="eastAsia" w:ascii="宋体" w:hAnsi="宋体"/>
          <w:bCs/>
          <w:color w:val="000000"/>
          <w:sz w:val="24"/>
          <w:szCs w:val="24"/>
        </w:rPr>
        <w:t>总得分：Q=（Q0+Q1+Q2+Q3+Q4+Q5+QA）/10=71.8</w:t>
      </w:r>
    </w:p>
    <w:p>
      <w:pPr>
        <w:jc w:val="center"/>
      </w:pPr>
      <w:r>
        <w:rPr>
          <w:rFonts w:hint="eastAsia" w:ascii="宋体" w:hAnsi="宋体"/>
          <w:b/>
          <w:bCs/>
          <w:color w:val="000000"/>
          <w:sz w:val="28"/>
          <w:szCs w:val="28"/>
        </w:rPr>
        <w:t/>
      </w:r>
    </w:p>
    <w:p>
      <w:r>
        <w:rPr>
          <w:rFonts w:hint="eastAsia" w:ascii="宋体" w:hAnsi="宋体"/>
          <w:b/>
          <w:bCs/>
          <w:color w:val="000000"/>
          <w:sz w:val="28"/>
          <w:szCs w:val="28"/>
        </w:rPr>
        <w:t>二、项目情况</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jc w:val="center"/>
            </w:pPr>
            <w:r>
              <w:rPr>
                <w:rFonts w:hint="eastAsia" w:ascii="宋体" w:hAnsi="宋体"/>
                <w:b/>
                <w:bCs/>
                <w:color w:val="000000"/>
                <w:sz w:val="20"/>
                <w:szCs w:val="20"/>
              </w:rPr>
              <w:t>子项</w:t>
            </w:r>
          </w:p>
        </w:tc>
        <w:tc>
          <w:tcPr>
            <w:tcW w:w="800" w:type="dxa"/>
            <w:shd w:color="auto" w:fill="DCDCDC"/>
            <w:vAlign w:val="center"/>
          </w:tcPr>
          <w:p>
            <w:pPr>
              <w:jc w:val="center"/>
            </w:pPr>
            <w:r>
              <w:rPr>
                <w:rFonts w:hint="eastAsia" w:ascii="宋体" w:hAnsi="宋体"/>
                <w:b/>
                <w:bCs/>
                <w:color w:val="000000"/>
                <w:sz w:val="22"/>
                <w:szCs w:val="22"/>
              </w:rPr>
              <w:t>条文编号</w:t>
            </w:r>
          </w:p>
        </w:tc>
        <w:tc>
          <w:tcPr>
            <w:tcW w:w="5000" w:type="dxa"/>
            <w:shd w:color="auto" w:fill="DCDCDC"/>
            <w:vAlign w:val="center"/>
          </w:tcPr>
          <w:p>
            <w:pPr>
              <w:jc w:val="center"/>
            </w:pPr>
            <w:r>
              <w:rPr>
                <w:rFonts w:hint="eastAsia" w:ascii="宋体" w:hAnsi="宋体"/>
                <w:b/>
                <w:bCs/>
                <w:color w:val="000000"/>
                <w:sz w:val="20"/>
                <w:szCs w:val="20"/>
              </w:rPr>
              <w:t>条文</w:t>
            </w:r>
          </w:p>
        </w:tc>
        <w:tc>
          <w:tcPr>
            <w:tcW w:w="800" w:type="dxa"/>
            <w:shd w:color="auto" w:fill="DCDCDC"/>
            <w:vAlign w:val="center"/>
          </w:tcPr>
          <w:p>
            <w:pPr>
              <w:jc w:val="center"/>
            </w:pPr>
            <w:r>
              <w:rPr>
                <w:rFonts w:hint="eastAsia" w:ascii="宋体" w:hAnsi="宋体"/>
                <w:b/>
                <w:bCs/>
                <w:color w:val="000000"/>
                <w:sz w:val="20"/>
                <w:szCs w:val="20"/>
              </w:rPr>
              <w:t>满分</w:t>
            </w:r>
          </w:p>
        </w:tc>
        <w:tc>
          <w:tcPr>
            <w:tcW w:w="800" w:type="dxa"/>
            <w:shd w:color="auto" w:fill="DCDCDC"/>
            <w:vAlign w:val="center"/>
          </w:tcPr>
          <w:p>
            <w:pPr>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jc w:val="center"/>
            </w:pPr>
            <w:r>
              <w:rPr>
                <w:rFonts w:hint="eastAsia" w:ascii="宋体" w:hAnsi="宋体"/>
                <w:b/>
                <w:bCs/>
                <w:color w:val="000000"/>
                <w:sz w:val="20"/>
                <w:szCs w:val="20"/>
              </w:rPr>
              <w:t>控制项</w:t>
            </w:r>
          </w:p>
        </w:tc>
        <w:tc>
          <w:tcPr>
            <w:tcW w:w="800" w:type="dxa"/>
            <w:vAlign w:val="center"/>
          </w:tcPr>
          <w:p>
            <w:pPr>
              <w:jc w:val="left"/>
            </w:pPr>
            <w:r>
              <w:rPr>
                <w:rFonts w:hint="eastAsia" w:ascii="宋体" w:hAnsi="宋体"/>
                <w:bCs/>
                <w:color w:val="000000"/>
                <w:sz w:val="22"/>
                <w:szCs w:val="22"/>
              </w:rPr>
              <w:t>4.1.1</w:t>
            </w:r>
          </w:p>
        </w:tc>
        <w:tc>
          <w:tcPr>
            <w:tcW w:w="5000" w:type="dxa"/>
            <w:vAlign w:val="center"/>
          </w:tcPr>
          <w:p>
            <w:pPr>
              <w:jc w:val="left"/>
            </w:pPr>
            <w:r>
              <w:rPr>
                <w:rFonts w:hint="eastAsia" w:ascii="宋体" w:hAnsi="宋体"/>
                <w:bCs/>
                <w:color w:val="000000"/>
                <w:sz w:val="22"/>
                <w:szCs w:val="22"/>
              </w:rPr>
              <w:t>场地安全</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4.1.2</w:t>
            </w:r>
          </w:p>
        </w:tc>
        <w:tc>
          <w:tcPr>
            <w:tcW w:w="5000" w:type="dxa"/>
            <w:vAlign w:val="center"/>
          </w:tcPr>
          <w:p>
            <w:pPr>
              <w:jc w:val="left"/>
            </w:pPr>
            <w:r>
              <w:rPr>
                <w:rFonts w:hint="eastAsia" w:ascii="宋体" w:hAnsi="宋体"/>
                <w:bCs/>
                <w:color w:val="000000"/>
                <w:sz w:val="22"/>
                <w:szCs w:val="22"/>
              </w:rPr>
              <w:t>建筑结构</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4.1.3</w:t>
            </w:r>
          </w:p>
        </w:tc>
        <w:tc>
          <w:tcPr>
            <w:tcW w:w="5000" w:type="dxa"/>
            <w:vAlign w:val="center"/>
          </w:tcPr>
          <w:p>
            <w:pPr>
              <w:jc w:val="left"/>
            </w:pPr>
            <w:r>
              <w:rPr>
                <w:rFonts w:hint="eastAsia" w:ascii="宋体" w:hAnsi="宋体"/>
                <w:bCs/>
                <w:color w:val="000000"/>
                <w:sz w:val="22"/>
                <w:szCs w:val="22"/>
              </w:rPr>
              <w:t>外部设施</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4.1.4</w:t>
            </w:r>
          </w:p>
        </w:tc>
        <w:tc>
          <w:tcPr>
            <w:tcW w:w="5000" w:type="dxa"/>
            <w:vAlign w:val="center"/>
          </w:tcPr>
          <w:p>
            <w:pPr>
              <w:jc w:val="left"/>
            </w:pPr>
            <w:r>
              <w:rPr>
                <w:rFonts w:hint="eastAsia" w:ascii="宋体" w:hAnsi="宋体"/>
                <w:bCs/>
                <w:color w:val="000000"/>
                <w:sz w:val="22"/>
                <w:szCs w:val="22"/>
              </w:rPr>
              <w:t>建筑内部非结构构件</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4.1.5</w:t>
            </w:r>
          </w:p>
        </w:tc>
        <w:tc>
          <w:tcPr>
            <w:tcW w:w="5000" w:type="dxa"/>
            <w:vAlign w:val="center"/>
          </w:tcPr>
          <w:p>
            <w:pPr>
              <w:jc w:val="left"/>
            </w:pPr>
            <w:r>
              <w:rPr>
                <w:rFonts w:hint="eastAsia" w:ascii="宋体" w:hAnsi="宋体"/>
                <w:bCs/>
                <w:color w:val="000000"/>
                <w:sz w:val="22"/>
                <w:szCs w:val="22"/>
              </w:rPr>
              <w:t>外门窗性能</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4.1.6</w:t>
            </w:r>
          </w:p>
        </w:tc>
        <w:tc>
          <w:tcPr>
            <w:tcW w:w="5000" w:type="dxa"/>
            <w:vAlign w:val="center"/>
          </w:tcPr>
          <w:p>
            <w:pPr>
              <w:jc w:val="left"/>
            </w:pPr>
            <w:r>
              <w:rPr>
                <w:rFonts w:hint="eastAsia" w:ascii="宋体" w:hAnsi="宋体"/>
                <w:bCs/>
                <w:color w:val="000000"/>
                <w:sz w:val="22"/>
                <w:szCs w:val="22"/>
              </w:rPr>
              <w:t>外墙保温</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4.1.7</w:t>
            </w:r>
          </w:p>
        </w:tc>
        <w:tc>
          <w:tcPr>
            <w:tcW w:w="5000" w:type="dxa"/>
            <w:vAlign w:val="center"/>
          </w:tcPr>
          <w:p>
            <w:pPr>
              <w:jc w:val="left"/>
            </w:pPr>
            <w:r>
              <w:rPr>
                <w:rFonts w:hint="eastAsia" w:ascii="宋体" w:hAnsi="宋体"/>
                <w:bCs/>
                <w:color w:val="000000"/>
                <w:sz w:val="22"/>
                <w:szCs w:val="22"/>
              </w:rPr>
              <w:t>防水防潮</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4.1.8</w:t>
            </w:r>
          </w:p>
        </w:tc>
        <w:tc>
          <w:tcPr>
            <w:tcW w:w="5000" w:type="dxa"/>
            <w:vAlign w:val="center"/>
          </w:tcPr>
          <w:p>
            <w:pPr>
              <w:jc w:val="left"/>
            </w:pPr>
            <w:r>
              <w:rPr>
                <w:rFonts w:hint="eastAsia" w:ascii="宋体" w:hAnsi="宋体"/>
                <w:bCs/>
                <w:color w:val="000000"/>
                <w:sz w:val="22"/>
                <w:szCs w:val="22"/>
              </w:rPr>
              <w:t>满足紧急疏散要求</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4.1.9</w:t>
            </w:r>
          </w:p>
        </w:tc>
        <w:tc>
          <w:tcPr>
            <w:tcW w:w="5000" w:type="dxa"/>
            <w:vAlign w:val="center"/>
          </w:tcPr>
          <w:p>
            <w:pPr>
              <w:jc w:val="left"/>
            </w:pPr>
            <w:r>
              <w:rPr>
                <w:rFonts w:hint="eastAsia" w:ascii="宋体" w:hAnsi="宋体"/>
                <w:bCs/>
                <w:color w:val="000000"/>
                <w:sz w:val="22"/>
                <w:szCs w:val="22"/>
              </w:rPr>
              <w:t>安全防护标识系统</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4.1.10</w:t>
            </w:r>
          </w:p>
        </w:tc>
        <w:tc>
          <w:tcPr>
            <w:tcW w:w="5000" w:type="dxa"/>
            <w:vAlign w:val="center"/>
          </w:tcPr>
          <w:p>
            <w:pPr>
              <w:jc w:val="left"/>
            </w:pPr>
            <w:r>
              <w:rPr>
                <w:rFonts w:hint="eastAsia" w:ascii="宋体" w:hAnsi="宋体"/>
                <w:bCs/>
                <w:color w:val="000000"/>
                <w:sz w:val="22"/>
                <w:szCs w:val="22"/>
              </w:rPr>
              <w:t>地下工程防水</w:t>
            </w:r>
          </w:p>
        </w:tc>
        <w:tc>
          <w:tcPr>
            <w:tcW w:w="800" w:type="dxa"/>
            <w:vAlign w:val="center"/>
          </w:tcPr>
          <w:p>
            <w:pPr>
              <w:jc w:val="center"/>
            </w:pPr>
            <w:r>
              <w:rPr>
                <w:rFonts w:hint="eastAsia" w:ascii="宋体" w:hAnsi="宋体"/>
                <w:bCs/>
                <w:color w:val="000000"/>
                <w:sz w:val="22"/>
                <w:szCs w:val="22"/>
              </w:rPr>
              <w:t>/</w:t>
            </w:r>
          </w:p>
        </w:tc>
        <w:tc>
          <w:tcPr>
            <w:tcW w:w="800" w:type="dxa"/>
            <w:vAlign w:val="center"/>
          </w:tcPr>
          <w:p>
            <w:pPr>
              <w:jc w:val="center"/>
            </w:pPr>
            <w:r>
              <w:rPr>
                <w:rFonts w:hint="eastAsia" w:ascii="宋体" w:hAnsi="宋体"/>
                <w:bCs/>
                <w:color w:val="000000"/>
                <w:sz w:val="22"/>
                <w:szCs w:val="22"/>
              </w:rPr>
              <w:t>√</w:t>
            </w:r>
          </w:p>
        </w:tc>
      </w:tr>
      <w:tr>
        <w:tc>
          <w:tcPr>
            <w:tcW w:w="1000" w:type="dxa"/>
            <w:vMerge w:val="restart"/>
            <w:shd w:color="auto" w:fill="DCDCDC"/>
            <w:vAlign w:val="center"/>
          </w:tcPr>
          <w:p>
            <w:pPr>
              <w:jc w:val="center"/>
            </w:pPr>
            <w:r>
              <w:rPr>
                <w:rFonts w:hint="eastAsia" w:ascii="宋体" w:hAnsi="宋体"/>
                <w:b/>
                <w:bCs/>
                <w:color w:val="000000"/>
                <w:sz w:val="20"/>
                <w:szCs w:val="20"/>
              </w:rPr>
              <w:t>评分项</w:t>
            </w:r>
          </w:p>
        </w:tc>
        <w:tc>
          <w:tcPr>
            <w:tcW w:w="800" w:type="dxa"/>
            <w:vAlign w:val="center"/>
          </w:tcPr>
          <w:p>
            <w:pPr>
              <w:jc w:val="left"/>
            </w:pPr>
            <w:r>
              <w:rPr>
                <w:rFonts w:hint="eastAsia" w:ascii="宋体" w:hAnsi="宋体"/>
                <w:bCs/>
                <w:color w:val="000000"/>
                <w:sz w:val="22"/>
                <w:szCs w:val="22"/>
              </w:rPr>
              <w:t>4.2.1</w:t>
            </w:r>
          </w:p>
        </w:tc>
        <w:tc>
          <w:tcPr>
            <w:tcW w:w="5000" w:type="dxa"/>
            <w:vAlign w:val="center"/>
          </w:tcPr>
          <w:p>
            <w:pPr>
              <w:jc w:val="left"/>
            </w:pPr>
            <w:r>
              <w:rPr>
                <w:rFonts w:hint="eastAsia" w:ascii="宋体" w:hAnsi="宋体"/>
                <w:bCs/>
                <w:color w:val="000000"/>
                <w:sz w:val="22"/>
                <w:szCs w:val="22"/>
              </w:rPr>
              <w:t>提高抗震性能</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4.2.2</w:t>
            </w:r>
          </w:p>
        </w:tc>
        <w:tc>
          <w:tcPr>
            <w:tcW w:w="5000" w:type="dxa"/>
            <w:vAlign w:val="center"/>
          </w:tcPr>
          <w:p>
            <w:pPr>
              <w:jc w:val="left"/>
            </w:pPr>
            <w:r>
              <w:rPr>
                <w:rFonts w:hint="eastAsia" w:ascii="宋体" w:hAnsi="宋体"/>
                <w:bCs/>
                <w:color w:val="000000"/>
                <w:sz w:val="22"/>
                <w:szCs w:val="22"/>
              </w:rPr>
              <w:t>防护措施</w:t>
            </w:r>
          </w:p>
        </w:tc>
        <w:tc>
          <w:tcPr>
            <w:tcW w:w="800" w:type="dxa"/>
            <w:vAlign w:val="center"/>
          </w:tcPr>
          <w:p>
            <w:pPr>
              <w:jc w:val="center"/>
            </w:pPr>
            <w:r>
              <w:rPr>
                <w:rFonts w:hint="eastAsia" w:ascii="宋体" w:hAnsi="宋体"/>
                <w:bCs/>
                <w:color w:val="000000"/>
                <w:sz w:val="22"/>
                <w:szCs w:val="22"/>
              </w:rPr>
              <w:t>15</w:t>
            </w:r>
          </w:p>
        </w:tc>
        <w:tc>
          <w:tcPr>
            <w:tcW w:w="800" w:type="dxa"/>
            <w:vAlign w:val="center"/>
          </w:tcPr>
          <w:p>
            <w:pPr>
              <w:jc w:val="center"/>
            </w:pPr>
            <w:r>
              <w:rPr>
                <w:rFonts w:hint="eastAsia" w:ascii="宋体" w:hAnsi="宋体"/>
                <w:bCs/>
                <w:color w:val="000000"/>
                <w:sz w:val="22"/>
                <w:szCs w:val="22"/>
              </w:rPr>
              <w:t>15</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4.2.3</w:t>
            </w:r>
          </w:p>
        </w:tc>
        <w:tc>
          <w:tcPr>
            <w:tcW w:w="5000" w:type="dxa"/>
            <w:vAlign w:val="center"/>
          </w:tcPr>
          <w:p>
            <w:pPr>
              <w:jc w:val="left"/>
            </w:pPr>
            <w:r>
              <w:rPr>
                <w:rFonts w:hint="eastAsia" w:ascii="宋体" w:hAnsi="宋体"/>
                <w:bCs/>
                <w:color w:val="000000"/>
                <w:sz w:val="22"/>
                <w:szCs w:val="22"/>
              </w:rPr>
              <w:t>配件安全性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10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4.2.4</w:t>
            </w:r>
          </w:p>
        </w:tc>
        <w:tc>
          <w:tcPr>
            <w:tcW w:w="5000" w:type="dxa"/>
            <w:vAlign w:val="center"/>
          </w:tcPr>
          <w:p>
            <w:pPr>
              <w:jc w:val="left"/>
            </w:pPr>
            <w:r>
              <w:rPr>
                <w:rFonts w:hint="eastAsia" w:ascii="宋体" w:hAnsi="宋体"/>
                <w:bCs/>
                <w:color w:val="000000"/>
                <w:sz w:val="22"/>
                <w:szCs w:val="22"/>
              </w:rPr>
              <w:t>地面防滑设置</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10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4.2.5</w:t>
            </w:r>
          </w:p>
        </w:tc>
        <w:tc>
          <w:tcPr>
            <w:tcW w:w="5000" w:type="dxa"/>
            <w:vAlign w:val="center"/>
          </w:tcPr>
          <w:p>
            <w:pPr>
              <w:jc w:val="left"/>
            </w:pPr>
            <w:r>
              <w:rPr>
                <w:rFonts w:hint="eastAsia" w:ascii="宋体" w:hAnsi="宋体"/>
                <w:bCs/>
                <w:color w:val="000000"/>
                <w:sz w:val="22"/>
                <w:szCs w:val="22"/>
              </w:rPr>
              <w:t>人车分流及交通照明</w:t>
            </w:r>
          </w:p>
        </w:tc>
        <w:tc>
          <w:tcPr>
            <w:tcW w:w="800" w:type="dxa"/>
            <w:vAlign w:val="center"/>
          </w:tcPr>
          <w:p>
            <w:pPr>
              <w:jc w:val="center"/>
            </w:pPr>
            <w:r>
              <w:rPr>
                <w:rFonts w:hint="eastAsia" w:ascii="宋体" w:hAnsi="宋体"/>
                <w:bCs/>
                <w:color w:val="000000"/>
                <w:sz w:val="22"/>
                <w:szCs w:val="22"/>
              </w:rPr>
              <w:t>8</w:t>
            </w:r>
          </w:p>
        </w:tc>
        <w:tc>
          <w:tcPr>
            <w:tcW w:w="800" w:type="dxa"/>
            <w:vAlign w:val="center"/>
          </w:tcPr>
          <w:p>
            <w:pPr>
              <w:jc w:val="center"/>
            </w:pPr>
            <w:r>
              <w:rPr>
                <w:rFonts w:hint="eastAsia" w:ascii="宋体" w:hAnsi="宋体"/>
                <w:bCs/>
                <w:color w:val="000000"/>
                <w:sz w:val="22"/>
                <w:szCs w:val="22"/>
              </w:rPr>
              <w:t>8</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4.2.6</w:t>
            </w:r>
          </w:p>
        </w:tc>
        <w:tc>
          <w:tcPr>
            <w:tcW w:w="5000" w:type="dxa"/>
            <w:vAlign w:val="center"/>
          </w:tcPr>
          <w:p>
            <w:pPr>
              <w:jc w:val="left"/>
            </w:pPr>
            <w:r>
              <w:rPr>
                <w:rFonts w:hint="eastAsia" w:ascii="宋体" w:hAnsi="宋体"/>
                <w:bCs/>
                <w:color w:val="000000"/>
                <w:sz w:val="22"/>
                <w:szCs w:val="22"/>
              </w:rPr>
              <w:t>保温一体化</w:t>
            </w:r>
          </w:p>
        </w:tc>
        <w:tc>
          <w:tcPr>
            <w:tcW w:w="800" w:type="dxa"/>
            <w:vAlign w:val="center"/>
          </w:tcPr>
          <w:p>
            <w:pPr>
              <w:jc w:val="center"/>
            </w:pPr>
            <w:r>
              <w:rPr>
                <w:rFonts w:hint="eastAsia" w:ascii="宋体" w:hAnsi="宋体"/>
                <w:bCs/>
                <w:color w:val="000000"/>
                <w:sz w:val="22"/>
                <w:szCs w:val="22"/>
              </w:rPr>
              <w:t>8</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4.2.7</w:t>
            </w:r>
          </w:p>
        </w:tc>
        <w:tc>
          <w:tcPr>
            <w:tcW w:w="5000" w:type="dxa"/>
            <w:vAlign w:val="center"/>
          </w:tcPr>
          <w:p>
            <w:pPr>
              <w:jc w:val="left"/>
            </w:pPr>
            <w:r>
              <w:rPr>
                <w:rFonts w:hint="eastAsia" w:ascii="宋体" w:hAnsi="宋体"/>
                <w:bCs/>
                <w:color w:val="000000"/>
                <w:sz w:val="22"/>
                <w:szCs w:val="22"/>
              </w:rPr>
              <w:t>建筑适变性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4.2.8</w:t>
            </w:r>
          </w:p>
        </w:tc>
        <w:tc>
          <w:tcPr>
            <w:tcW w:w="5000" w:type="dxa"/>
            <w:vAlign w:val="center"/>
          </w:tcPr>
          <w:p>
            <w:pPr>
              <w:jc w:val="left"/>
            </w:pPr>
            <w:r>
              <w:rPr>
                <w:rFonts w:hint="eastAsia" w:ascii="宋体" w:hAnsi="宋体"/>
                <w:bCs/>
                <w:color w:val="000000"/>
                <w:sz w:val="22"/>
                <w:szCs w:val="22"/>
              </w:rPr>
              <w:t>部品部件耐久性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5</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4.2.9</w:t>
            </w:r>
          </w:p>
        </w:tc>
        <w:tc>
          <w:tcPr>
            <w:tcW w:w="5000" w:type="dxa"/>
            <w:vAlign w:val="center"/>
          </w:tcPr>
          <w:p>
            <w:pPr>
              <w:jc w:val="left"/>
            </w:pPr>
            <w:r>
              <w:rPr>
                <w:rFonts w:hint="eastAsia" w:ascii="宋体" w:hAnsi="宋体"/>
                <w:bCs/>
                <w:color w:val="000000"/>
                <w:sz w:val="22"/>
                <w:szCs w:val="22"/>
              </w:rPr>
              <w:t>结构材料耐久性</w:t>
            </w:r>
          </w:p>
        </w:tc>
        <w:tc>
          <w:tcPr>
            <w:tcW w:w="800" w:type="dxa"/>
            <w:vAlign w:val="center"/>
          </w:tcPr>
          <w:p>
            <w:pPr>
              <w:jc w:val="center"/>
            </w:pPr>
            <w:r>
              <w:rPr>
                <w:rFonts w:hint="eastAsia" w:ascii="宋体" w:hAnsi="宋体"/>
                <w:bCs/>
                <w:color w:val="000000"/>
                <w:sz w:val="22"/>
                <w:szCs w:val="22"/>
              </w:rPr>
              <w:t>10</w:t>
            </w:r>
          </w:p>
        </w:tc>
        <w:tc>
          <w:tcPr>
            <w:tcW w:w="800" w:type="dxa"/>
            <w:vAlign w:val="center"/>
          </w:tcPr>
          <w:p>
            <w:pPr>
              <w:jc w:val="center"/>
            </w:pPr>
            <w:r>
              <w:rPr>
                <w:rFonts w:hint="eastAsia" w:ascii="宋体" w:hAnsi="宋体"/>
                <w:bCs/>
                <w:color w:val="000000"/>
                <w:sz w:val="22"/>
                <w:szCs w:val="22"/>
              </w:rPr>
              <w:t>0</w:t>
            </w:r>
          </w:p>
        </w:tc>
      </w:tr>
      <w:tr>
        <w:tc>
          <w:tcPr>
            <w:tcW w:w="1000" w:type="dxa"/>
            <w:v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left"/>
            </w:pPr>
            <w:r>
              <w:rPr>
                <w:rFonts w:hint="eastAsia" w:ascii="宋体" w:hAnsi="宋体"/>
                <w:bCs/>
                <w:color w:val="000000"/>
                <w:sz w:val="22"/>
                <w:szCs w:val="22"/>
              </w:rPr>
              <w:t>4.2.10</w:t>
            </w:r>
          </w:p>
        </w:tc>
        <w:tc>
          <w:tcPr>
            <w:tcW w:w="5000" w:type="dxa"/>
            <w:vAlign w:val="center"/>
          </w:tcPr>
          <w:p>
            <w:pPr>
              <w:jc w:val="left"/>
            </w:pPr>
            <w:r>
              <w:rPr>
                <w:rFonts w:hint="eastAsia" w:ascii="宋体" w:hAnsi="宋体"/>
                <w:bCs/>
                <w:color w:val="000000"/>
                <w:sz w:val="22"/>
                <w:szCs w:val="22"/>
              </w:rPr>
              <w:t>装饰装修材料耐久性</w:t>
            </w:r>
          </w:p>
        </w:tc>
        <w:tc>
          <w:tcPr>
            <w:tcW w:w="800" w:type="dxa"/>
            <w:vAlign w:val="center"/>
          </w:tcPr>
          <w:p>
            <w:pPr>
              <w:jc w:val="center"/>
            </w:pPr>
            <w:r>
              <w:rPr>
                <w:rFonts w:hint="eastAsia" w:ascii="宋体" w:hAnsi="宋体"/>
                <w:bCs/>
                <w:color w:val="000000"/>
                <w:sz w:val="22"/>
                <w:szCs w:val="22"/>
              </w:rPr>
              <w:t>9</w:t>
            </w:r>
          </w:p>
        </w:tc>
        <w:tc>
          <w:tcPr>
            <w:tcW w:w="800" w:type="dxa"/>
            <w:vAlign w:val="center"/>
          </w:tcPr>
          <w:p>
            <w:pPr>
              <w:jc w:val="center"/>
            </w:pPr>
            <w:r>
              <w:rPr>
                <w:rFonts w:hint="eastAsia" w:ascii="宋体" w:hAnsi="宋体"/>
                <w:bCs/>
                <w:color w:val="000000"/>
                <w:sz w:val="22"/>
                <w:szCs w:val="22"/>
              </w:rPr>
              <w:t>3</w:t>
            </w:r>
          </w:p>
        </w:tc>
      </w:tr>
      <w:tr>
        <w:tc>
          <w:tcPr>
            <w:tcW w:w="1000" w:type="dxa"/>
            <w:hMerge w:val="restart"/>
            <w:shd w:color="auto" w:fill="DCDCDC"/>
            <w:vAlign w:val="center"/>
          </w:tcPr>
          <w:p>
            <w:pPr>
              <w:jc w:val="center"/>
            </w:pPr>
            <w:r>
              <w:rPr>
                <w:rFonts w:hint="eastAsia" w:ascii="宋体" w:hAnsi="宋体"/>
                <w:b/>
                <w:bCs/>
                <w:color w:val="000000"/>
                <w:sz w:val="20"/>
                <w:szCs w:val="20"/>
              </w:rPr>
              <w:t>合计</w:t>
            </w:r>
          </w:p>
        </w:tc>
        <w:tc>
          <w:tcPr>
            <w:tcW w:w="800" w:type="dxa"/>
            <w:hMerge w:val="continue"/>
            <w:shd w:color="auto" w:fill="DCDCDC"/>
            <w:vAlign w:val="center"/>
          </w:tcPr>
          <w:p>
            <w:pPr>
              <w:jc w:val="center"/>
            </w:pPr>
            <w:r>
              <w:rPr>
                <w:rFonts w:hint="eastAsia" w:ascii="宋体" w:hAnsi="宋体"/>
                <w:b/>
                <w:bCs/>
                <w:color w:val="000000"/>
                <w:sz w:val="20"/>
                <w:szCs w:val="20"/>
              </w:rPr>
              <w:t/>
            </w:r>
          </w:p>
        </w:tc>
        <w:tc>
          <w:tcPr>
            <w:tcW w:w="5000" w:type="dxa"/>
            <w:hMerge w:val="continue"/>
            <w:shd w:color="auto" w:fill="DCDCDC"/>
            <w:vAlign w:val="center"/>
          </w:tcPr>
          <w:p>
            <w:pPr>
              <w:jc w:val="center"/>
            </w:pPr>
            <w:r>
              <w:rPr>
                <w:rFonts w:hint="eastAsia" w:ascii="宋体" w:hAnsi="宋体"/>
                <w:b/>
                <w:bCs/>
                <w:color w:val="000000"/>
                <w:sz w:val="20"/>
                <w:szCs w:val="20"/>
              </w:rPr>
              <w:t/>
            </w:r>
          </w:p>
        </w:tc>
        <w:tc>
          <w:tcPr>
            <w:tcW w:w="800" w:type="dxa"/>
            <w:vAlign w:val="center"/>
          </w:tcPr>
          <w:p>
            <w:pPr>
              <w:jc w:val="center"/>
            </w:pPr>
            <w:r>
              <w:rPr>
                <w:rFonts w:hint="eastAsia" w:ascii="宋体" w:hAnsi="宋体"/>
                <w:bCs/>
                <w:color w:val="000000"/>
                <w:sz w:val="22"/>
                <w:szCs w:val="22"/>
              </w:rPr>
              <w:t>100.0</w:t>
            </w:r>
          </w:p>
        </w:tc>
        <w:tc>
          <w:tcPr>
            <w:tcW w:w="800" w:type="dxa"/>
            <w:vAlign w:val="center"/>
          </w:tcPr>
          <w:p>
            <w:pPr>
              <w:jc w:val="center"/>
            </w:pPr>
            <w:r>
              <w:rPr>
                <w:rFonts w:hint="eastAsia" w:ascii="宋体" w:hAnsi="宋体"/>
                <w:bCs/>
                <w:color w:val="000000"/>
                <w:sz w:val="22"/>
                <w:szCs w:val="22"/>
              </w:rPr>
              <w:t>51.0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