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4.2.7</w:t>
      </w:r>
      <w:r>
        <w:rPr>
          <w:rFonts w:hint="eastAsia" w:eastAsiaTheme="minorEastAsia"/>
          <w:sz w:val="24"/>
          <w:szCs w:val="40"/>
        </w:rPr>
        <w:t xml:space="preserve"> </w:t>
      </w:r>
      <w:r>
        <w:rPr>
          <w:rFonts w:eastAsiaTheme="minorEastAsia"/>
          <w:sz w:val="24"/>
          <w:szCs w:val="40"/>
        </w:rPr>
        <w:t>采取提升建筑适变性的措施。（10分）</w:t>
      </w:r>
    </w:p>
    <w:p>
      <w:pPr>
        <w:spacing w:before="156" w:beforeLines="50" w:after="156" w:afterLines="50"/>
        <w:rPr>
          <w:rFonts w:ascii="Times New Roman" w:hAnsi="Times New Roman" w:cs="Times New Roman"/>
          <w:b/>
          <w:szCs w:val="21"/>
        </w:rPr>
      </w:pPr>
      <w:r>
        <w:rPr>
          <w:rFonts w:ascii="Times New Roman" w:hAnsi="Times New Roman" w:cs="Times New Roman"/>
          <w:b/>
          <w:szCs w:val="21"/>
        </w:rPr>
        <w:t>1 得分自评</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3607"/>
        <w:gridCol w:w="1300"/>
        <w:gridCol w:w="1154"/>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序号</w:t>
            </w:r>
          </w:p>
        </w:tc>
        <w:tc>
          <w:tcPr>
            <w:tcW w:w="3091" w:type="pct"/>
            <w:gridSpan w:val="2"/>
            <w:vAlign w:val="center"/>
          </w:tcPr>
          <w:p>
            <w:pPr>
              <w:jc w:val="center"/>
              <w:rPr>
                <w:rFonts w:ascii="Times New Roman" w:hAnsi="Times New Roman" w:cs="Times New Roman"/>
                <w:szCs w:val="21"/>
              </w:rPr>
            </w:pPr>
            <w:r>
              <w:rPr>
                <w:rFonts w:ascii="Times New Roman" w:hAnsi="Times New Roman" w:cs="Times New Roman"/>
                <w:szCs w:val="21"/>
              </w:rPr>
              <w:t>评价内容</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评价分值</w:t>
            </w:r>
          </w:p>
        </w:tc>
        <w:tc>
          <w:tcPr>
            <w:tcW w:w="728" w:type="pct"/>
            <w:vAlign w:val="center"/>
          </w:tcPr>
          <w:p>
            <w:pPr>
              <w:jc w:val="center"/>
              <w:rPr>
                <w:rFonts w:ascii="Times New Roman" w:hAnsi="Times New Roman" w:cs="Times New Roman"/>
                <w:szCs w:val="21"/>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54" w:type="pct"/>
            <w:vMerge w:val="restart"/>
            <w:vAlign w:val="center"/>
          </w:tcPr>
          <w:p>
            <w:pPr>
              <w:jc w:val="center"/>
              <w:rPr>
                <w:rFonts w:ascii="Times New Roman" w:hAnsi="Times New Roman" w:cs="Times New Roman"/>
                <w:szCs w:val="21"/>
              </w:rPr>
            </w:pPr>
            <w:r>
              <w:rPr>
                <w:rFonts w:ascii="Times New Roman" w:hAnsi="Times New Roman" w:cs="Times New Roman"/>
                <w:szCs w:val="21"/>
              </w:rPr>
              <w:t>1</w:t>
            </w:r>
          </w:p>
        </w:tc>
        <w:tc>
          <w:tcPr>
            <w:tcW w:w="2272" w:type="pct"/>
            <w:vMerge w:val="restart"/>
            <w:vAlign w:val="center"/>
          </w:tcPr>
          <w:p>
            <w:pPr>
              <w:rPr>
                <w:rFonts w:ascii="Times New Roman" w:hAnsi="Times New Roman" w:cs="Times New Roman"/>
                <w:szCs w:val="21"/>
              </w:rPr>
            </w:pPr>
            <w:r>
              <w:rPr>
                <w:rFonts w:ascii="Times New Roman" w:hAnsi="Times New Roman" w:cs="Times New Roman"/>
                <w:szCs w:val="21"/>
              </w:rPr>
              <w:t>采取通用开放、灵活可变的使用空间设计</w:t>
            </w:r>
            <w:r>
              <w:rPr>
                <w:rFonts w:hint="eastAsia" w:ascii="Times New Roman" w:hAnsi="Times New Roman" w:cs="宋体"/>
                <w:kern w:val="0"/>
                <w:szCs w:val="21"/>
              </w:rPr>
              <w:t>使建筑空间和功能适应使用者需求的变化，可变化功能空间灵活隔断比例</w:t>
            </w: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30%</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Merge w:val="restar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50%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3</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54" w:type="pct"/>
            <w:vMerge w:val="continue"/>
            <w:vAlign w:val="center"/>
          </w:tcPr>
          <w:p>
            <w:pPr>
              <w:jc w:val="center"/>
              <w:rPr>
                <w:rFonts w:ascii="Times New Roman" w:hAnsi="Times New Roman" w:cs="Times New Roman"/>
                <w:szCs w:val="21"/>
              </w:rPr>
            </w:pPr>
          </w:p>
        </w:tc>
        <w:tc>
          <w:tcPr>
            <w:tcW w:w="2272" w:type="pct"/>
            <w:vMerge w:val="continue"/>
            <w:vAlign w:val="center"/>
          </w:tcPr>
          <w:p>
            <w:pPr>
              <w:rPr>
                <w:rFonts w:ascii="Times New Roman" w:hAnsi="Times New Roman" w:cs="Times New Roman"/>
                <w:szCs w:val="21"/>
              </w:rPr>
            </w:pPr>
          </w:p>
        </w:tc>
        <w:tc>
          <w:tcPr>
            <w:tcW w:w="819" w:type="pct"/>
            <w:vAlign w:val="center"/>
          </w:tcPr>
          <w:p>
            <w:pPr>
              <w:rPr>
                <w:rFonts w:ascii="Times New Roman" w:hAnsi="Times New Roman" w:cs="Times New Roman"/>
                <w:szCs w:val="21"/>
              </w:rPr>
            </w:pPr>
            <w:r>
              <w:rPr>
                <w:rFonts w:hint="eastAsia" w:ascii="Times New Roman" w:hAnsi="Times New Roman" w:cs="宋体"/>
                <w:kern w:val="0"/>
                <w:szCs w:val="21"/>
              </w:rPr>
              <w:t>大于</w:t>
            </w:r>
            <w:r>
              <w:rPr>
                <w:rFonts w:ascii="Times New Roman" w:hAnsi="Times New Roman" w:cs="TimesNewRomanPSMT"/>
                <w:kern w:val="0"/>
                <w:szCs w:val="21"/>
              </w:rPr>
              <w:t>80%</w:t>
            </w:r>
          </w:p>
        </w:tc>
        <w:tc>
          <w:tcPr>
            <w:tcW w:w="727" w:type="pct"/>
            <w:vAlign w:val="center"/>
          </w:tcPr>
          <w:p>
            <w:pPr>
              <w:jc w:val="center"/>
              <w:rPr>
                <w:rFonts w:ascii="Times New Roman" w:hAnsi="Times New Roman" w:cs="Times New Roman"/>
                <w:szCs w:val="21"/>
              </w:rPr>
            </w:pPr>
            <w:r>
              <w:rPr>
                <w:rFonts w:hint="eastAsia" w:ascii="Times New Roman" w:hAnsi="Times New Roman" w:cs="Times New Roman"/>
                <w:szCs w:val="21"/>
              </w:rPr>
              <w:t>4</w:t>
            </w:r>
          </w:p>
        </w:tc>
        <w:tc>
          <w:tcPr>
            <w:tcW w:w="728" w:type="pct"/>
            <w:vMerge w:val="continue"/>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3091" w:type="pct"/>
            <w:gridSpan w:val="2"/>
            <w:vAlign w:val="center"/>
          </w:tcPr>
          <w:p>
            <w:pPr>
              <w:rPr>
                <w:rFonts w:ascii="Times New Roman" w:hAnsi="Times New Roman" w:cs="Times New Roman"/>
                <w:szCs w:val="21"/>
              </w:rPr>
            </w:pPr>
            <w:r>
              <w:rPr>
                <w:rFonts w:hint="eastAsia" w:ascii="Times New Roman" w:hAnsi="Times New Roman" w:cs="宋体"/>
                <w:kern w:val="0"/>
                <w:szCs w:val="21"/>
              </w:rPr>
              <w:t>管线分离并满足河北省《装配式建筑评价标准》</w:t>
            </w:r>
            <w:r>
              <w:rPr>
                <w:rFonts w:ascii="Times New Roman" w:hAnsi="Times New Roman" w:cs="TimesNewRomanPSMT"/>
                <w:kern w:val="0"/>
                <w:szCs w:val="21"/>
              </w:rPr>
              <w:t>DB13</w:t>
            </w:r>
            <w:r>
              <w:rPr>
                <w:rFonts w:ascii="Times New Roman" w:hAnsi="Times New Roman" w:cs="宋体"/>
                <w:kern w:val="0"/>
                <w:szCs w:val="21"/>
              </w:rPr>
              <w:t>(</w:t>
            </w:r>
            <w:r>
              <w:rPr>
                <w:rFonts w:ascii="Times New Roman" w:hAnsi="Times New Roman" w:cs="TimesNewRomanPSMT"/>
                <w:kern w:val="0"/>
                <w:szCs w:val="21"/>
              </w:rPr>
              <w:t>J</w:t>
            </w:r>
            <w:r>
              <w:rPr>
                <w:rFonts w:ascii="Times New Roman" w:hAnsi="Times New Roman" w:cs="宋体"/>
                <w:kern w:val="0"/>
                <w:szCs w:val="21"/>
              </w:rPr>
              <w:t>)</w:t>
            </w:r>
            <w:r>
              <w:rPr>
                <w:rFonts w:ascii="Times New Roman" w:hAnsi="Times New Roman" w:cs="TimesNewRomanPSMT"/>
                <w:kern w:val="0"/>
                <w:szCs w:val="21"/>
              </w:rPr>
              <w:t xml:space="preserve"> /T 8321 </w:t>
            </w:r>
            <w:r>
              <w:rPr>
                <w:rFonts w:hint="eastAsia" w:ascii="Times New Roman" w:hAnsi="Times New Roman" w:cs="宋体"/>
                <w:kern w:val="0"/>
                <w:szCs w:val="21"/>
              </w:rPr>
              <w:t>中规定的最低比例要求</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4</w:t>
            </w:r>
          </w:p>
        </w:tc>
        <w:tc>
          <w:tcPr>
            <w:tcW w:w="728"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54" w:type="pct"/>
            <w:vAlign w:val="center"/>
          </w:tcPr>
          <w:p>
            <w:pPr>
              <w:jc w:val="center"/>
              <w:rPr>
                <w:rFonts w:ascii="Times New Roman" w:hAnsi="Times New Roman" w:cs="Times New Roman"/>
                <w:szCs w:val="21"/>
              </w:rPr>
            </w:pPr>
            <w:r>
              <w:rPr>
                <w:rFonts w:ascii="Times New Roman" w:hAnsi="Times New Roman" w:cs="Times New Roman"/>
                <w:szCs w:val="21"/>
              </w:rPr>
              <w:t>3</w:t>
            </w:r>
          </w:p>
        </w:tc>
        <w:tc>
          <w:tcPr>
            <w:tcW w:w="3091" w:type="pct"/>
            <w:gridSpan w:val="2"/>
            <w:vAlign w:val="center"/>
          </w:tcPr>
          <w:p>
            <w:pPr>
              <w:rPr>
                <w:rFonts w:ascii="Times New Roman" w:hAnsi="Times New Roman" w:cs="Times New Roman"/>
                <w:szCs w:val="21"/>
              </w:rPr>
            </w:pPr>
            <w:r>
              <w:rPr>
                <w:rFonts w:ascii="Times New Roman" w:hAnsi="Times New Roman" w:cs="Times New Roman"/>
                <w:szCs w:val="21"/>
              </w:rPr>
              <w:t>采用与建筑功能和空间变化相适应的设备设施布置方式或控制方式</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2</w:t>
            </w:r>
          </w:p>
        </w:tc>
        <w:tc>
          <w:tcPr>
            <w:tcW w:w="728" w:type="pct"/>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pct"/>
            <w:gridSpan w:val="3"/>
            <w:vAlign w:val="center"/>
          </w:tcPr>
          <w:p>
            <w:pPr>
              <w:jc w:val="center"/>
              <w:rPr>
                <w:rFonts w:ascii="Times New Roman" w:hAnsi="Times New Roman" w:cs="Times New Roman"/>
                <w:szCs w:val="21"/>
              </w:rPr>
            </w:pPr>
            <w:r>
              <w:rPr>
                <w:rFonts w:ascii="Times New Roman" w:hAnsi="Times New Roman" w:cs="Times New Roman"/>
                <w:szCs w:val="21"/>
              </w:rPr>
              <w:t>合计</w:t>
            </w:r>
          </w:p>
        </w:tc>
        <w:tc>
          <w:tcPr>
            <w:tcW w:w="727" w:type="pct"/>
            <w:vAlign w:val="center"/>
          </w:tcPr>
          <w:p>
            <w:pPr>
              <w:jc w:val="center"/>
              <w:rPr>
                <w:rFonts w:ascii="Times New Roman" w:hAnsi="Times New Roman" w:cs="Times New Roman"/>
                <w:szCs w:val="21"/>
              </w:rPr>
            </w:pPr>
            <w:r>
              <w:rPr>
                <w:rFonts w:ascii="Times New Roman" w:hAnsi="Times New Roman" w:cs="Times New Roman"/>
                <w:szCs w:val="21"/>
              </w:rPr>
              <w:t>10</w:t>
            </w:r>
          </w:p>
        </w:tc>
        <w:tc>
          <w:tcPr>
            <w:tcW w:w="728" w:type="pct"/>
            <w:vAlign w:val="center"/>
          </w:tcPr>
          <w:p>
            <w:pPr>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2</w:t>
            </w: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2 评价要点</w:t>
      </w:r>
    </w:p>
    <w:tbl>
      <w:tblPr>
        <w:tblStyle w:val="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Pr>
          <w:p>
            <w:pPr>
              <w:jc w:val="center"/>
              <w:rPr>
                <w:rFonts w:ascii="Times New Roman" w:hAnsi="Times New Roman" w:cs="Times New Roman"/>
                <w:szCs w:val="21"/>
              </w:rPr>
            </w:pPr>
            <w:r>
              <w:rPr>
                <w:rFonts w:ascii="Times New Roman" w:hAnsi="Times New Roman" w:cs="Times New Roman"/>
                <w:szCs w:val="21"/>
              </w:rPr>
              <w:t>类型</w:t>
            </w:r>
          </w:p>
        </w:tc>
        <w:tc>
          <w:tcPr>
            <w:tcW w:w="2575" w:type="pct"/>
          </w:tcPr>
          <w:p>
            <w:pPr>
              <w:jc w:val="center"/>
              <w:rPr>
                <w:rFonts w:ascii="Times New Roman" w:hAnsi="Times New Roman" w:cs="Times New Roman"/>
                <w:szCs w:val="21"/>
              </w:rPr>
            </w:pPr>
            <w:r>
              <w:rPr>
                <w:rFonts w:ascii="Times New Roman" w:hAnsi="Times New Roman"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灵活</w:t>
            </w:r>
            <w:r>
              <w:rPr>
                <w:rFonts w:ascii="Times New Roman" w:hAnsi="Times New Roman" w:cs="Times New Roman"/>
                <w:szCs w:val="21"/>
              </w:rPr>
              <w:t>可变空间占建筑面积比例</w:t>
            </w:r>
          </w:p>
        </w:tc>
        <w:tc>
          <w:tcPr>
            <w:tcW w:w="2575" w:type="pct"/>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25" w:type="pct"/>
          </w:tcPr>
          <w:p>
            <w:pPr>
              <w:rPr>
                <w:rFonts w:ascii="Times New Roman" w:hAnsi="Times New Roman" w:cs="Times New Roman"/>
                <w:szCs w:val="21"/>
              </w:rPr>
            </w:pPr>
            <w:r>
              <w:rPr>
                <w:rFonts w:hint="eastAsia" w:ascii="Times New Roman" w:hAnsi="Times New Roman" w:cs="Times New Roman"/>
                <w:szCs w:val="21"/>
              </w:rPr>
              <w:t>管线分离比例</w:t>
            </w:r>
          </w:p>
        </w:tc>
        <w:tc>
          <w:tcPr>
            <w:tcW w:w="2575" w:type="pct"/>
            <w:vAlign w:val="center"/>
          </w:tcPr>
          <w:p>
            <w:pPr>
              <w:jc w:val="center"/>
              <w:rPr>
                <w:rFonts w:ascii="Times New Roman" w:hAnsi="Times New Roman" w:cs="Times New Roman"/>
                <w:szCs w:val="21"/>
              </w:rPr>
            </w:pPr>
          </w:p>
        </w:tc>
      </w:tr>
    </w:tbl>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请对采取与建筑功能和空间变化相适应的设备设施布置方式或控制方式进行</w:t>
      </w:r>
      <w:r>
        <w:rPr>
          <w:rFonts w:ascii="Times New Roman" w:hAnsi="Times New Roman" w:cs="Times New Roman"/>
          <w:szCs w:val="21"/>
        </w:rPr>
        <w:t>简要说明</w:t>
      </w:r>
      <w:r>
        <w:rPr>
          <w:rFonts w:hint="eastAsia" w:ascii="Times New Roman" w:hAnsi="Times New Roman" w:cs="Times New Roman"/>
          <w:szCs w:val="21"/>
        </w:rPr>
        <w:t>：</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9356" w:type="dxa"/>
          </w:tcPr>
          <w:p>
            <w:pPr>
              <w:jc w:val="left"/>
              <w:rPr>
                <w:rFonts w:hint="eastAsia" w:ascii="Times New Roman" w:hAnsi="Times New Roman" w:cs="Times New Roman"/>
                <w:kern w:val="0"/>
                <w:sz w:val="20"/>
                <w:szCs w:val="21"/>
                <w:lang w:val="en-US" w:eastAsia="zh-CN"/>
              </w:rPr>
            </w:pPr>
            <w:r>
              <w:rPr>
                <w:rFonts w:hint="eastAsia" w:ascii="Times New Roman" w:hAnsi="Times New Roman" w:cs="Times New Roman"/>
                <w:kern w:val="0"/>
                <w:sz w:val="20"/>
                <w:szCs w:val="21"/>
                <w:lang w:val="en-US" w:eastAsia="zh-CN"/>
              </w:rPr>
              <w:t xml:space="preserve"> 本工程楼面采用大开间和大进深结构布置，灵活布置内隔墙，墙、柱、梁的布置不影响居室转换且卧室中间不露梁、柱，户内居室的可转换性及转换后的使用舒适性较高。</w:t>
            </w:r>
          </w:p>
          <w:p>
            <w:pPr>
              <w:jc w:val="left"/>
              <w:rPr>
                <w:rFonts w:hint="eastAsia" w:ascii="Times New Roman" w:hAnsi="Times New Roman" w:eastAsia="宋体" w:cs="Times New Roman"/>
                <w:szCs w:val="21"/>
              </w:rPr>
            </w:pPr>
          </w:p>
          <w:p>
            <w:pPr>
              <w:jc w:val="left"/>
              <w:rPr>
                <w:rFonts w:hint="default" w:ascii="Times New Roman" w:hAnsi="Times New Roman" w:cs="Times New Roman" w:eastAsiaTheme="minorEastAsia"/>
                <w:kern w:val="0"/>
                <w:sz w:val="20"/>
                <w:szCs w:val="21"/>
                <w:lang w:val="en-US" w:eastAsia="zh-CN"/>
              </w:rPr>
            </w:pPr>
          </w:p>
        </w:tc>
      </w:tr>
    </w:tbl>
    <w:p>
      <w:pPr>
        <w:spacing w:before="156" w:beforeLines="50" w:after="156" w:afterLines="50"/>
        <w:rPr>
          <w:rFonts w:ascii="Times New Roman" w:hAnsi="Times New Roman" w:cs="Times New Roman"/>
          <w:b/>
          <w:szCs w:val="21"/>
        </w:rPr>
      </w:pPr>
      <w:r>
        <w:rPr>
          <w:rFonts w:ascii="Times New Roman" w:hAnsi="Times New Roman" w:cs="Times New Roman"/>
          <w:b/>
          <w:szCs w:val="21"/>
        </w:rPr>
        <w:t>3 证明材料</w:t>
      </w:r>
    </w:p>
    <w:p>
      <w:pPr>
        <w:spacing w:line="360" w:lineRule="auto"/>
        <w:rPr>
          <w:rFonts w:ascii="Times New Roman" w:hAnsi="Times New Roman" w:cs="Times New Roman"/>
          <w:szCs w:val="21"/>
        </w:rPr>
      </w:pPr>
      <w:r>
        <w:rPr>
          <w:rFonts w:ascii="Times New Roman" w:hAnsi="Times New Roman" w:cs="Times New Roman"/>
          <w:szCs w:val="21"/>
        </w:rPr>
        <w:t>提交材料及要求：</w:t>
      </w:r>
    </w:p>
    <w:p>
      <w:pPr>
        <w:spacing w:line="360" w:lineRule="auto"/>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）建筑适变性提升措施的专项设计说明；</w:t>
      </w:r>
    </w:p>
    <w:p>
      <w:pPr>
        <w:spacing w:line="360" w:lineRule="auto"/>
        <w:rPr>
          <w:rFonts w:ascii="Times New Roman" w:hAnsi="Times New Roman" w:cs="Times New Roman"/>
          <w:szCs w:val="21"/>
        </w:rPr>
      </w:pPr>
      <w:r>
        <w:rPr>
          <w:rFonts w:hint="eastAsia" w:ascii="Times New Roman" w:hAnsi="Times New Roman" w:cs="Times New Roman"/>
          <w:szCs w:val="21"/>
        </w:rPr>
        <w:t>2）建筑、结构、设备及装修设计相关竣工图。</w:t>
      </w:r>
    </w:p>
    <w:p>
      <w:pPr>
        <w:spacing w:line="360" w:lineRule="auto"/>
        <w:rPr>
          <w:rFonts w:ascii="Times New Roman" w:hAnsi="Times New Roman" w:cs="Times New Roman"/>
          <w:szCs w:val="21"/>
        </w:rPr>
      </w:pPr>
      <w:r>
        <w:rPr>
          <w:rFonts w:ascii="Times New Roman" w:hAnsi="Times New Roman" w:cs="Times New Roman"/>
          <w:szCs w:val="21"/>
        </w:rPr>
        <w:t>实际提交材料：</w:t>
      </w:r>
    </w:p>
    <w:tbl>
      <w:tblPr>
        <w:tblStyle w:val="13"/>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56" w:type="dxa"/>
          </w:tcPr>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建筑</w:t>
            </w:r>
            <w:r>
              <w:rPr>
                <w:rFonts w:hint="eastAsia" w:ascii="Times New Roman" w:hAnsi="Times New Roman" w:eastAsia="宋体" w:cs="Times New Roman"/>
                <w:szCs w:val="21"/>
                <w:lang w:eastAsia="zh-CN"/>
              </w:rPr>
              <w:t>施工</w:t>
            </w:r>
            <w:r>
              <w:rPr>
                <w:rFonts w:hint="eastAsia" w:ascii="Times New Roman" w:hAnsi="Times New Roman" w:eastAsia="宋体" w:cs="Times New Roman"/>
                <w:szCs w:val="21"/>
              </w:rPr>
              <w:t>图与设计说明</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lang w:eastAsia="zh-CN"/>
              </w:rPr>
              <w:t>结构施工</w:t>
            </w:r>
            <w:r>
              <w:rPr>
                <w:rFonts w:hint="eastAsia" w:ascii="Times New Roman" w:hAnsi="Times New Roman" w:eastAsia="宋体" w:cs="Times New Roman"/>
                <w:szCs w:val="21"/>
              </w:rPr>
              <w:t>图与设计说明</w:t>
            </w:r>
          </w:p>
          <w:p>
            <w:pPr>
              <w:jc w:val="left"/>
              <w:rPr>
                <w:rFonts w:ascii="Times New Roman" w:hAnsi="Times New Roman" w:cs="Times New Roman" w:eastAsiaTheme="minorEastAsia"/>
                <w:kern w:val="0"/>
                <w:sz w:val="20"/>
                <w:szCs w:val="21"/>
              </w:rPr>
            </w:pPr>
          </w:p>
        </w:tc>
      </w:tr>
    </w:tbl>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0F29A4"/>
    <w:rsid w:val="001163C3"/>
    <w:rsid w:val="004B4951"/>
    <w:rsid w:val="006028B7"/>
    <w:rsid w:val="00724346"/>
    <w:rsid w:val="007F1354"/>
    <w:rsid w:val="00842C8B"/>
    <w:rsid w:val="009C0CBE"/>
    <w:rsid w:val="00BA302A"/>
    <w:rsid w:val="00C72FD6"/>
    <w:rsid w:val="00F204B3"/>
    <w:rsid w:val="00FE3C18"/>
    <w:rsid w:val="471F0770"/>
    <w:rsid w:val="551E3F56"/>
    <w:rsid w:val="643B6D56"/>
    <w:rsid w:val="6E7C3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331</Characters>
  <Lines>2</Lines>
  <Paragraphs>1</Paragraphs>
  <TotalTime>10</TotalTime>
  <ScaleCrop>false</ScaleCrop>
  <LinksUpToDate>false</LinksUpToDate>
  <CharactersWithSpaces>387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开心小睿</cp:lastModifiedBy>
  <dcterms:modified xsi:type="dcterms:W3CDTF">2021-05-21T01:52:29Z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B05049F0341A468FB05C99E511CC8932</vt:lpwstr>
  </property>
</Properties>
</file>