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客厅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卧室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21/11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≤45（昼）</w:t>
            </w:r>
            <w:r>
              <w:rPr>
                <w:rFonts w:hint="default" w:ascii="Times New Roman" w:hAnsi="Times New Roman" w:cs="Times New Roman"/>
                <w:szCs w:val="21"/>
              </w:rPr>
              <w:t>/ ≤37（夜）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客厅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卧室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外墙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56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45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Style w:val="14"/>
                <w:rFonts w:hint="eastAsia" w:asciiTheme="minorEastAsia" w:hAnsiTheme="minorEastAsia"/>
                <w:lang w:eastAsia="zh-CN"/>
              </w:rPr>
              <w:t>客厅</w:t>
            </w:r>
            <w:r>
              <w:rPr>
                <w:rStyle w:val="14"/>
                <w:rFonts w:hint="eastAsia" w:asciiTheme="minorEastAsia" w:hAnsiTheme="minorEastAsia"/>
              </w:rPr>
              <w:t xml:space="preserve">  卧室</w:t>
            </w: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外窗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45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30/25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客厅 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户门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34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25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卧室 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Style w:val="14"/>
                <w:rFonts w:hint="eastAsia" w:asciiTheme="minorEastAsia" w:hAnsiTheme="minorEastAsia"/>
                <w:lang w:eastAsia="zh-CN"/>
              </w:rPr>
              <w:t>分户墙</w:t>
            </w: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、分户楼板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56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45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客厅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分户楼板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73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75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卧室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分户楼板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73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75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面层。室外噪声的降噪措施主要依靠外墙和外门窗的隔断。外墙采用200厚钢筋混凝土墙，外门窗为断桥铝框，玻璃采用5+12Ar+5Low-e双银中空玻璃，很好的阻断室外噪声的传播。车辆进出禁止鸣笛、减速慢行。为提高楼板撞击声隔声性能楼板增加挤塑聚苯板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图与设计说明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381613"/>
    <w:rsid w:val="004B477E"/>
    <w:rsid w:val="004E1873"/>
    <w:rsid w:val="00525100"/>
    <w:rsid w:val="0069460D"/>
    <w:rsid w:val="006C5FA9"/>
    <w:rsid w:val="00923769"/>
    <w:rsid w:val="009E722D"/>
    <w:rsid w:val="00D13F11"/>
    <w:rsid w:val="00DF2A1B"/>
    <w:rsid w:val="00EA4ACA"/>
    <w:rsid w:val="3C4F3923"/>
    <w:rsid w:val="43933E0C"/>
    <w:rsid w:val="4A6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C8217F"/>
    <w:rsid w:val="00D86956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044FA38A873404089DFFFBC13349E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开心小睿</cp:lastModifiedBy>
  <dcterms:modified xsi:type="dcterms:W3CDTF">2021-05-21T01:54:55Z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A00B50B9EADE4250A547592F89CFCEBC</vt:lpwstr>
  </property>
</Properties>
</file>