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0" w:name="_GoBack"/>
      <w:bookmarkEnd w:id="0"/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1003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1003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1003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1003</w:t>
            </w: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本项目机动车采用全地下的方式，地面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局部为非机动车和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98量机动车，其余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均为绿化用地及公共活动用地。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本项目设置有车辆管理系统，采用基于TCP/IP智能化设备网的IP数字一卡通系统，小区出入岗亭设置管理电脑。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建筑专业图纸及设计说明</w:t>
            </w:r>
          </w:p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电气</w:t>
            </w:r>
            <w:r>
              <w:rPr>
                <w:rFonts w:hint="eastAsia" w:ascii="Times New Roman" w:hAnsi="Times New Roman" w:cs="Times New Roman"/>
              </w:rPr>
              <w:t>专业图纸及设计说明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779D1"/>
    <w:rsid w:val="008E4A0D"/>
    <w:rsid w:val="00F8175F"/>
    <w:rsid w:val="00FF4DFD"/>
    <w:rsid w:val="2A950773"/>
    <w:rsid w:val="6983447C"/>
    <w:rsid w:val="746B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9</TotalTime>
  <ScaleCrop>false</ScaleCrop>
  <LinksUpToDate>false</LinksUpToDate>
  <CharactersWithSpaces>607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开心小睿</cp:lastModifiedBy>
  <dcterms:modified xsi:type="dcterms:W3CDTF">2021-05-21T02:53:13Z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E9F76DD743F3481B888C2400B8D4C632</vt:lpwstr>
  </property>
</Properties>
</file>