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 xml:space="preserve">7.1.7 </w:t>
      </w:r>
      <w:r>
        <w:rPr>
          <w:rFonts w:hint="eastAsia"/>
          <w:sz w:val="24"/>
          <w:szCs w:val="40"/>
        </w:rPr>
        <w:t>景观用水水源不得采用市政自来水和地下井水。游泳池、水上游乐池池水应循环使用，排水水宜梯级利用。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spacing w:line="320" w:lineRule="exact"/>
        <w:rPr>
          <w:rFonts w:hint="eastAsia"/>
          <w:color w:val="000000"/>
          <w:sz w:val="20"/>
          <w:szCs w:val="20"/>
          <w:u w:val="single"/>
        </w:rPr>
      </w:pPr>
      <w:sdt>
        <w:sdtPr>
          <w:rPr>
            <w:rFonts w:hint="eastAsia"/>
            <w:sz w:val="28"/>
          </w:rPr>
          <w:id w:val="5195226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515455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不达标；</w:t>
      </w:r>
      <w:sdt>
        <w:sdtPr>
          <w:rPr>
            <w:rFonts w:hint="eastAsia"/>
            <w:sz w:val="28"/>
          </w:rPr>
          <w:id w:val="25371380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cs="宋体"/>
          <w:color w:val="000000"/>
        </w:rPr>
        <w:t>不</w:t>
      </w:r>
      <w:r>
        <w:rPr>
          <w:rFonts w:hint="eastAsia" w:cs="宋体"/>
          <w:color w:val="000000"/>
        </w:rPr>
        <w:t xml:space="preserve">参评，原因是    </w:t>
      </w:r>
      <w:r>
        <w:rPr>
          <w:rFonts w:hint="eastAsia" w:cs="宋体"/>
          <w:color w:val="000000"/>
          <w:u w:val="single"/>
        </w:rPr>
        <w:t xml:space="preserve"> </w:t>
      </w:r>
      <w:r>
        <w:rPr>
          <w:rFonts w:hint="eastAsia" w:cs="宋体"/>
          <w:color w:val="000000"/>
          <w:u w:val="single"/>
          <w:lang w:eastAsia="zh-CN"/>
        </w:rPr>
        <w:t>无景观用水及游泳池等</w:t>
      </w:r>
      <w:bookmarkStart w:id="5" w:name="_GoBack"/>
      <w:bookmarkEnd w:id="5"/>
      <w:r>
        <w:rPr>
          <w:rFonts w:hint="eastAsia" w:cs="宋体"/>
          <w:color w:val="000000"/>
          <w:u w:val="single"/>
        </w:rPr>
        <w:t xml:space="preserve">                         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简要说明以下内容：（100字以内）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景观用水系统简介；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 游泳池、水上游乐池循环系统简介。</w:t>
      </w:r>
      <w:bookmarkStart w:id="0" w:name="_Toc9945166"/>
      <w:bookmarkStart w:id="1" w:name="_Toc9945308"/>
      <w:bookmarkStart w:id="2" w:name="_Toc9945449"/>
      <w:bookmarkStart w:id="3" w:name="_Toc9945022"/>
      <w:bookmarkStart w:id="4" w:name="_Toc9944742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</w:t>
      </w:r>
      <w:r>
        <w:rPr>
          <w:rFonts w:hint="eastAsia"/>
          <w:color w:val="000000"/>
          <w:szCs w:val="21"/>
        </w:rPr>
        <w:t>景观用水施工图及设计说明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</w:t>
      </w:r>
      <w:r>
        <w:rPr>
          <w:rFonts w:hint="eastAsia"/>
          <w:color w:val="000000"/>
          <w:szCs w:val="21"/>
        </w:rPr>
        <w:t>游泳池、水上游乐池施工图及设计说明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</w:t>
      </w:r>
      <w:r>
        <w:rPr>
          <w:rFonts w:hint="eastAsia"/>
          <w:color w:val="000000"/>
          <w:szCs w:val="21"/>
        </w:rPr>
        <w:t>给排水施工图及设计说明</w:t>
      </w:r>
      <w:r>
        <w:rPr>
          <w:rFonts w:ascii="Times New Roman" w:hAnsi="Times New Roman" w:cs="Times New Roman" w:eastAsiaTheme="majorEastAsia"/>
        </w:rPr>
        <w:t>。</w:t>
      </w:r>
    </w:p>
    <w:bookmarkEnd w:id="0"/>
    <w:bookmarkEnd w:id="1"/>
    <w:bookmarkEnd w:id="2"/>
    <w:bookmarkEnd w:id="3"/>
    <w:bookmarkEnd w:id="4"/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AD"/>
    <w:rsid w:val="000308D0"/>
    <w:rsid w:val="00074A38"/>
    <w:rsid w:val="00237A61"/>
    <w:rsid w:val="00393ED3"/>
    <w:rsid w:val="0039667F"/>
    <w:rsid w:val="005A5F8D"/>
    <w:rsid w:val="0081414D"/>
    <w:rsid w:val="008F0E61"/>
    <w:rsid w:val="009F2C1C"/>
    <w:rsid w:val="00A30344"/>
    <w:rsid w:val="00AB2127"/>
    <w:rsid w:val="00E37D1A"/>
    <w:rsid w:val="00FA7EAD"/>
    <w:rsid w:val="00FC5248"/>
    <w:rsid w:val="0D8C4613"/>
    <w:rsid w:val="72A1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15</TotalTime>
  <ScaleCrop>false</ScaleCrop>
  <LinksUpToDate>false</LinksUpToDate>
  <CharactersWithSpaces>256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2019-07-12T08:04:00Z</dcterms:created>
  <dc:creator>dongYP</dc:creator>
  <cp:lastModifiedBy>Administrator</cp:lastModifiedBy>
  <dcterms:modified xsi:type="dcterms:W3CDTF">2020-12-09T02:25:35Z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