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三河燕山生态旅游文化园项目工程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三河燕山福成娱乐有限公司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参与单位名称：中冶地建设集团（三河）建筑设计咨询有限公司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2021年9月30日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气密性等级应为7级，且外窗洞口与外窗本体的结合部位应严密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39.0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33.0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67.0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48.0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总得分：Q=（Q0+Q1+Q2+Q3+Q4+Q5+QA）/10=64.1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3417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3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外墙保温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4.1.10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地下工程防水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保温一体化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4.2.10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