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vAlign w:val="top"/>
          </w:tcPr>
          <w:p>
            <w:pPr>
              <w:pStyle w:val="3"/>
            </w:pPr>
            <w:bookmarkStart w:id="1" w:name="项目名称"/>
            <w:bookmarkEnd w:id="1"/>
            <w:r>
              <w:rPr>
                <w:rFonts w:hint="eastAsia" w:ascii="宋体" w:hAnsi="宋体"/>
                <w:szCs w:val="21"/>
              </w:rPr>
              <w:t>惠泽铭苑项目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vAlign w:val="top"/>
          </w:tcPr>
          <w:p>
            <w:pPr>
              <w:pStyle w:val="3"/>
            </w:pPr>
            <w:bookmarkStart w:id="2" w:name="设计编号"/>
            <w:bookmarkEnd w:id="2"/>
            <w:r>
              <w:rPr>
                <w:rFonts w:hint="eastAsia" w:ascii="宋体" w:hAnsi="宋体"/>
                <w:szCs w:val="21"/>
              </w:rPr>
              <w:t>HY2021-104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vAlign w:val="top"/>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vAlign w:val="top"/>
          </w:tcPr>
          <w:p>
            <w:bookmarkStart w:id="4" w:name="设计单位"/>
            <w:bookmarkEnd w:id="4"/>
            <w:r>
              <w:rPr>
                <w:rFonts w:hint="eastAsia" w:ascii="宋体" w:hAnsi="宋体"/>
                <w:szCs w:val="21"/>
              </w:rPr>
              <w:t>唐山昊宇建筑设计有限公司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vAlign w:val="top"/>
          </w:tcPr>
          <w:p>
            <w:r>
              <w:rPr>
                <w:rFonts w:hint="eastAsia" w:ascii="宋体" w:hAnsi="宋体"/>
                <w:szCs w:val="21"/>
                <w:lang w:val="en-US" w:eastAsia="zh-CN"/>
              </w:rPr>
              <w:t>张雨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vAlign w:val="top"/>
          </w:tcPr>
          <w:p>
            <w:r>
              <w:rPr>
                <w:rFonts w:hint="eastAsia" w:ascii="宋体" w:hAnsi="宋体"/>
                <w:szCs w:val="21"/>
                <w:lang w:eastAsia="zh-CN"/>
              </w:rPr>
              <w:t>席丽颖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vAlign w:val="top"/>
          </w:tcPr>
          <w:p>
            <w:r>
              <w:rPr>
                <w:rFonts w:hint="eastAsia" w:ascii="宋体" w:hAnsi="宋体"/>
                <w:szCs w:val="21"/>
                <w:lang w:eastAsia="zh-CN"/>
              </w:rPr>
              <w:t>车玉建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vAlign w:val="top"/>
          </w:tcPr>
          <w:p>
            <w:r>
              <w:rPr>
                <w:rFonts w:hint="eastAsia" w:ascii="宋体" w:hAnsi="宋体"/>
                <w:szCs w:val="21"/>
              </w:rPr>
              <w:t>2021年11月</w:t>
            </w:r>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建筑声环境SEDU2022</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7" w:name="软件版本"/>
            <w:r>
              <w:rPr>
                <w:rFonts w:hint="eastAsia"/>
              </w:rPr>
              <w:t>20210808（SP1）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8" w:name="加密锁号"/>
            <w:r>
              <w:rPr>
                <w:rFonts w:hint="eastAsia"/>
              </w:rPr>
              <w:t>SP1A53E94F</w:t>
            </w:r>
            <w:bookmarkEnd w:id="8"/>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_Toc18737 </w:instrText>
      </w:r>
      <w:r>
        <w:rPr>
          <w:rFonts w:ascii="宋体" w:hAnsi="宋体"/>
          <w:caps/>
        </w:rPr>
        <w:fldChar w:fldCharType="separate"/>
      </w:r>
      <w:r>
        <w:t xml:space="preserve">1 </w:t>
      </w:r>
      <w:r>
        <w:rPr>
          <w:rFonts w:hint="eastAsia"/>
        </w:rPr>
        <w:t>建筑概况</w:t>
      </w:r>
      <w:r>
        <w:tab/>
      </w:r>
      <w:r>
        <w:fldChar w:fldCharType="begin"/>
      </w:r>
      <w:r>
        <w:instrText xml:space="preserve"> PAGEREF _Toc18737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_Toc9387 </w:instrText>
      </w:r>
      <w:r>
        <w:fldChar w:fldCharType="separate"/>
      </w:r>
      <w:r>
        <w:t xml:space="preserve">2 </w:t>
      </w:r>
      <w:r>
        <w:rPr>
          <w:rFonts w:hint="eastAsia"/>
        </w:rPr>
        <w:t>评价依据</w:t>
      </w:r>
      <w:r>
        <w:tab/>
      </w:r>
      <w:r>
        <w:fldChar w:fldCharType="begin"/>
      </w:r>
      <w:r>
        <w:instrText xml:space="preserve"> PAGEREF _Toc9387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_Toc4177 </w:instrText>
      </w:r>
      <w:r>
        <w:fldChar w:fldCharType="separate"/>
      </w:r>
      <w:r>
        <w:t xml:space="preserve">3 </w:t>
      </w:r>
      <w:r>
        <w:rPr>
          <w:rFonts w:hint="eastAsia"/>
        </w:rPr>
        <w:t>标准</w:t>
      </w:r>
      <w:r>
        <w:t>要求</w:t>
      </w:r>
      <w:r>
        <w:tab/>
      </w:r>
      <w:r>
        <w:fldChar w:fldCharType="begin"/>
      </w:r>
      <w:r>
        <w:instrText xml:space="preserve"> PAGEREF _Toc4177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_Toc15695 </w:instrText>
      </w:r>
      <w:r>
        <w:fldChar w:fldCharType="separate"/>
      </w:r>
      <w:r>
        <w:rPr>
          <w:kern w:val="2"/>
        </w:rPr>
        <w:t xml:space="preserve">4 </w:t>
      </w:r>
      <w:r>
        <w:rPr>
          <w:rFonts w:hint="eastAsia"/>
          <w:kern w:val="2"/>
        </w:rPr>
        <w:t>计算原理</w:t>
      </w:r>
      <w:r>
        <w:tab/>
      </w:r>
      <w:r>
        <w:fldChar w:fldCharType="begin"/>
      </w:r>
      <w:r>
        <w:instrText xml:space="preserve"> PAGEREF _Toc15695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_Toc26610 </w:instrText>
      </w:r>
      <w:r>
        <w:fldChar w:fldCharType="separate"/>
      </w:r>
      <w:r>
        <w:t xml:space="preserve">4.1 </w:t>
      </w:r>
      <w:r>
        <w:rPr>
          <w:rFonts w:hint="eastAsia"/>
        </w:rPr>
        <w:t>最不利</w:t>
      </w:r>
      <w:r>
        <w:t>房间确定</w:t>
      </w:r>
      <w:r>
        <w:tab/>
      </w:r>
      <w:r>
        <w:fldChar w:fldCharType="begin"/>
      </w:r>
      <w:r>
        <w:instrText xml:space="preserve"> PAGEREF _Toc26610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_Toc3816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_Toc3816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_Toc12890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_Toc12890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_Toc6197 </w:instrText>
      </w:r>
      <w:r>
        <w:fldChar w:fldCharType="separate"/>
      </w:r>
      <w:r>
        <w:t xml:space="preserve">5.1 </w:t>
      </w:r>
      <w:r>
        <w:rPr>
          <w:rFonts w:hint="eastAsia"/>
        </w:rPr>
        <w:t>室外</w:t>
      </w:r>
      <w:r>
        <w:t>边界噪声</w:t>
      </w:r>
      <w:r>
        <w:tab/>
      </w:r>
      <w:r>
        <w:fldChar w:fldCharType="begin"/>
      </w:r>
      <w:r>
        <w:instrText xml:space="preserve"> PAGEREF _Toc6197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_Toc27260 </w:instrText>
      </w:r>
      <w:r>
        <w:fldChar w:fldCharType="separate"/>
      </w:r>
      <w:r>
        <w:t>5.2 构件空气声隔声</w:t>
      </w:r>
      <w:r>
        <w:tab/>
      </w:r>
      <w:r>
        <w:fldChar w:fldCharType="begin"/>
      </w:r>
      <w:r>
        <w:instrText xml:space="preserve"> PAGEREF _Toc27260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_Toc19149 </w:instrText>
      </w:r>
      <w:r>
        <w:fldChar w:fldCharType="separate"/>
      </w:r>
      <w:r>
        <w:t xml:space="preserve">5.3 </w:t>
      </w:r>
      <w:r>
        <w:rPr>
          <w:rFonts w:hint="eastAsia"/>
        </w:rPr>
        <w:t>房间</w:t>
      </w:r>
      <w:r>
        <w:t>总吸声量计算</w:t>
      </w:r>
      <w:r>
        <w:tab/>
      </w:r>
      <w:r>
        <w:fldChar w:fldCharType="begin"/>
      </w:r>
      <w:r>
        <w:instrText xml:space="preserve"> PAGEREF _Toc19149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_Toc15450 </w:instrText>
      </w:r>
      <w:r>
        <w:fldChar w:fldCharType="separate"/>
      </w:r>
      <w:r>
        <w:t xml:space="preserve">5.4 </w:t>
      </w:r>
      <w:r>
        <w:rPr>
          <w:rFonts w:hint="eastAsia"/>
        </w:rPr>
        <w:t>组合墙</w:t>
      </w:r>
      <w:r>
        <w:t>空气声隔声量计算</w:t>
      </w:r>
      <w:r>
        <w:tab/>
      </w:r>
      <w:r>
        <w:fldChar w:fldCharType="begin"/>
      </w:r>
      <w:r>
        <w:instrText xml:space="preserve"> PAGEREF _Toc15450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_Toc10339 </w:instrText>
      </w:r>
      <w:r>
        <w:fldChar w:fldCharType="separate"/>
      </w:r>
      <w:r>
        <w:t xml:space="preserve">5.4.1 </w:t>
      </w:r>
      <w:r>
        <w:rPr>
          <w:rFonts w:hint="eastAsia"/>
        </w:rPr>
        <w:t>组合墙</w:t>
      </w:r>
      <w:r>
        <w:t>有效隔声量</w:t>
      </w:r>
      <w:r>
        <w:tab/>
      </w:r>
      <w:r>
        <w:fldChar w:fldCharType="begin"/>
      </w:r>
      <w:r>
        <w:instrText xml:space="preserve"> PAGEREF _Toc10339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_Toc31147 </w:instrText>
      </w:r>
      <w:r>
        <w:fldChar w:fldCharType="separate"/>
      </w:r>
      <w:r>
        <w:t xml:space="preserve">5.4.2 </w:t>
      </w:r>
      <w:r>
        <w:rPr>
          <w:rFonts w:hint="eastAsia"/>
        </w:rPr>
        <w:t>组合墙</w:t>
      </w:r>
      <w:r>
        <w:t>隔声单值评价量、频谱修正量</w:t>
      </w:r>
      <w:r>
        <w:tab/>
      </w:r>
      <w:r>
        <w:fldChar w:fldCharType="begin"/>
      </w:r>
      <w:r>
        <w:instrText xml:space="preserve"> PAGEREF _Toc31147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_Toc32602 </w:instrText>
      </w:r>
      <w:r>
        <w:fldChar w:fldCharType="separate"/>
      </w:r>
      <w:r>
        <w:t xml:space="preserve">5.4.3 </w:t>
      </w:r>
      <w:r>
        <w:rPr>
          <w:rFonts w:hint="eastAsia"/>
        </w:rPr>
        <w:t>缝隙对组合墙隔声量的影响</w:t>
      </w:r>
      <w:r>
        <w:tab/>
      </w:r>
      <w:r>
        <w:fldChar w:fldCharType="begin"/>
      </w:r>
      <w:r>
        <w:instrText xml:space="preserve"> PAGEREF _Toc32602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_Toc5286 </w:instrText>
      </w:r>
      <w:r>
        <w:fldChar w:fldCharType="separate"/>
      </w:r>
      <w:r>
        <w:t xml:space="preserve">5.4.4 </w:t>
      </w:r>
      <w:r>
        <w:rPr>
          <w:rFonts w:hint="eastAsia"/>
        </w:rPr>
        <w:t>组合墙隔声量计算过程</w:t>
      </w:r>
      <w:r>
        <w:tab/>
      </w:r>
      <w:r>
        <w:fldChar w:fldCharType="begin"/>
      </w:r>
      <w:r>
        <w:instrText xml:space="preserve"> PAGEREF _Toc5286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_Toc26858 </w:instrText>
      </w:r>
      <w:r>
        <w:fldChar w:fldCharType="separate"/>
      </w:r>
      <w:r>
        <w:t xml:space="preserve">5.5 </w:t>
      </w:r>
      <w:r>
        <w:rPr>
          <w:rFonts w:hint="eastAsia"/>
        </w:rPr>
        <w:t>室外环境噪声通过组合墙传到室内的噪声级计算</w:t>
      </w:r>
      <w:r>
        <w:tab/>
      </w:r>
      <w:r>
        <w:fldChar w:fldCharType="begin"/>
      </w:r>
      <w:r>
        <w:instrText xml:space="preserve"> PAGEREF _Toc26858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_Toc23061 </w:instrText>
      </w:r>
      <w:r>
        <w:fldChar w:fldCharType="separate"/>
      </w:r>
      <w:r>
        <w:t xml:space="preserve">5.6 </w:t>
      </w:r>
      <w:r>
        <w:rPr>
          <w:rFonts w:hint="eastAsia"/>
        </w:rPr>
        <w:t>室内声源的影响</w:t>
      </w:r>
      <w:r>
        <w:tab/>
      </w:r>
      <w:r>
        <w:fldChar w:fldCharType="begin"/>
      </w:r>
      <w:r>
        <w:instrText xml:space="preserve"> PAGEREF _Toc23061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_Toc32091 </w:instrText>
      </w:r>
      <w:r>
        <w:fldChar w:fldCharType="separate"/>
      </w:r>
      <w:r>
        <w:t xml:space="preserve">5.7 </w:t>
      </w:r>
      <w:r>
        <w:rPr>
          <w:rFonts w:hint="eastAsia"/>
        </w:rPr>
        <w:t>室内噪声级计算</w:t>
      </w:r>
      <w:r>
        <w:tab/>
      </w:r>
      <w:r>
        <w:fldChar w:fldCharType="begin"/>
      </w:r>
      <w:r>
        <w:instrText xml:space="preserve"> PAGEREF _Toc32091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_Toc11559 </w:instrText>
      </w:r>
      <w:r>
        <w:fldChar w:fldCharType="separate"/>
      </w:r>
      <w:r>
        <w:rPr>
          <w:kern w:val="2"/>
        </w:rPr>
        <w:t xml:space="preserve">6 </w:t>
      </w:r>
      <w:r>
        <w:rPr>
          <w:rFonts w:hint="eastAsia"/>
          <w:kern w:val="2"/>
        </w:rPr>
        <w:t>结论</w:t>
      </w:r>
      <w:r>
        <w:tab/>
      </w:r>
      <w:r>
        <w:fldChar w:fldCharType="begin"/>
      </w:r>
      <w:r>
        <w:instrText xml:space="preserve"> PAGEREF _Toc11559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18737"/>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bookmarkEnd w:id="11"/>
            <w:r>
              <w:rPr>
                <w:rFonts w:hint="eastAsia" w:ascii="宋体" w:hAnsi="宋体"/>
                <w:szCs w:val="21"/>
              </w:rPr>
              <w:t>惠泽铭苑项目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3660</w:t>
            </w:r>
            <w:bookmarkEnd w:id="12"/>
            <w:r>
              <w:rPr>
                <w:rFonts w:hint="eastAsia"/>
              </w:rPr>
              <w:t xml:space="preserve">      地下</w:t>
            </w:r>
            <w:bookmarkStart w:id="13" w:name="地下建筑面积"/>
            <w:r>
              <w:t>721</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8</w:t>
            </w:r>
            <w:bookmarkEnd w:id="14"/>
            <w:r>
              <w:rPr>
                <w:rFonts w:hint="eastAsia"/>
              </w:rPr>
              <w:t xml:space="preserve">      地下</w:t>
            </w:r>
            <w:bookmarkStart w:id="15" w:name="地下建筑层数"/>
            <w:r>
              <w:t>1</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6" w:name="地上建筑高度"/>
            <w:r>
              <w:t>23.8</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103</w:t>
            </w:r>
            <w:bookmarkEnd w:id="17"/>
          </w:p>
        </w:tc>
      </w:tr>
    </w:tbl>
    <w:p>
      <w:pPr>
        <w:pStyle w:val="2"/>
      </w:pPr>
      <w:bookmarkStart w:id="18" w:name="围护结构概况"/>
      <w:bookmarkEnd w:id="18"/>
      <w:bookmarkStart w:id="19" w:name="单体模型观察图"/>
      <w:bookmarkEnd w:id="19"/>
      <w:bookmarkStart w:id="20" w:name="_Toc9387"/>
      <w:bookmarkStart w:id="60" w:name="_GoBack"/>
      <w:bookmarkEnd w:id="60"/>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JGJT_449-2018</w:t>
      </w:r>
    </w:p>
    <w:p>
      <w:pPr>
        <w:pStyle w:val="2"/>
      </w:pPr>
      <w:bookmarkStart w:id="22" w:name="_Toc4177"/>
      <w:r>
        <w:rPr>
          <w:rFonts w:hint="eastAsia"/>
        </w:rPr>
        <w:t>标准</w:t>
      </w:r>
      <w:r>
        <w:t>要求</w:t>
      </w:r>
      <w:bookmarkEnd w:id="22"/>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3" w:name="_Toc15695"/>
      <w:r>
        <w:rPr>
          <w:rFonts w:hint="eastAsia"/>
          <w:kern w:val="2"/>
        </w:rPr>
        <w:t>计算原理</w:t>
      </w:r>
      <w:bookmarkEnd w:id="23"/>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4" w:name="_Toc26610"/>
      <w:r>
        <w:rPr>
          <w:rFonts w:hint="eastAsia"/>
        </w:rPr>
        <w:t>最不利</w:t>
      </w:r>
      <w:r>
        <w:t>房间确定</w:t>
      </w:r>
      <w:bookmarkEnd w:id="24"/>
    </w:p>
    <w:p>
      <w:pPr>
        <w:pStyle w:val="3"/>
        <w:numPr>
          <w:ilvl w:val="0"/>
          <w:numId w:val="4"/>
        </w:numPr>
      </w:pPr>
      <w:bookmarkStart w:id="25" w:name="_Hlk498956250"/>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5"/>
    </w:p>
    <w:p>
      <w:pPr>
        <w:pStyle w:val="3"/>
        <w:numPr>
          <w:ilvl w:val="0"/>
          <w:numId w:val="4"/>
        </w:numPr>
      </w:pPr>
      <w:r>
        <w:t>也可以根据项目实际情况和经验常识自选最不利房间进行评价，如靠近交通要道的卧室、办公室等。</w:t>
      </w:r>
    </w:p>
    <w:p>
      <w:pPr>
        <w:pStyle w:val="4"/>
      </w:pPr>
      <w:bookmarkStart w:id="27" w:name="_Toc3816"/>
      <w:r>
        <w:rPr>
          <w:rFonts w:hint="eastAsia"/>
        </w:rPr>
        <w:t>室内</w:t>
      </w:r>
      <w:r>
        <w:t>噪声级</w:t>
      </w:r>
      <w:r>
        <w:rPr>
          <w:rFonts w:hint="eastAsia"/>
        </w:rPr>
        <w:t>计算</w:t>
      </w:r>
      <w:bookmarkEnd w:id="27"/>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8" w:name="_Toc12890"/>
      <w:r>
        <w:rPr>
          <w:rFonts w:hint="eastAsia"/>
          <w:kern w:val="2"/>
        </w:rPr>
        <w:t>计算</w:t>
      </w:r>
      <w:r>
        <w:rPr>
          <w:kern w:val="2"/>
        </w:rPr>
        <w:t>过程</w:t>
      </w:r>
      <w:bookmarkEnd w:id="28"/>
    </w:p>
    <w:p>
      <w:pPr>
        <w:pStyle w:val="3"/>
        <w:ind w:firstLine="420"/>
        <w:rPr>
          <w:lang w:val="en-US"/>
        </w:rPr>
      </w:pPr>
      <w:r>
        <w:rPr>
          <w:rFonts w:hint="eastAsia"/>
          <w:lang w:val="en-US"/>
        </w:rPr>
        <w:t>本项目通过对整栋建筑的分析，确定了主要功能房间中噪声级最不利的房间为</w:t>
      </w:r>
      <w:bookmarkStart w:id="29" w:name="最不利房间编号2"/>
      <w:r>
        <w:rPr>
          <w:rFonts w:hint="eastAsia"/>
          <w:lang w:val="en-US"/>
        </w:rPr>
        <w:t>1004房间,房间类型[起居室]</w:t>
      </w:r>
      <w:bookmarkEnd w:id="29"/>
      <w:r>
        <w:rPr>
          <w:rFonts w:hint="eastAsia"/>
          <w:lang w:val="en-US"/>
        </w:rPr>
        <w:t>，报告书阐述该房间室内噪声级计算过程，房间情况如下图所示：</w:t>
      </w:r>
    </w:p>
    <w:p>
      <w:pPr>
        <w:jc w:val="center"/>
        <w:rPr>
          <w:lang w:val="en-US"/>
        </w:rPr>
      </w:pPr>
      <w:bookmarkStart w:id="30" w:name="最不利房间楼层平面图"/>
      <w:bookmarkEnd w:id="30"/>
      <w:r>
        <w:drawing>
          <wp:inline distT="0" distB="0" distL="0" distR="0">
            <wp:extent cx="5667375" cy="4152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41529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1" w:name="_Toc6197"/>
      <w:r>
        <w:rPr>
          <w:rFonts w:hint="eastAsia"/>
        </w:rPr>
        <w:t>室外</w:t>
      </w:r>
      <w:r>
        <w:t>边界噪声</w:t>
      </w:r>
      <w:bookmarkEnd w:id="31"/>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2" w:name="昼间边界噪声"/>
      <w:r>
        <w:t>55</w:t>
      </w:r>
      <w:bookmarkEnd w:id="32"/>
      <w:r>
        <w:rPr>
          <w:rFonts w:hint="eastAsia"/>
          <w:b/>
          <w:kern w:val="2"/>
          <w:lang w:val="en-US"/>
        </w:rPr>
        <w:t>dB</w:t>
      </w:r>
      <w:r>
        <w:rPr>
          <w:b/>
          <w:kern w:val="2"/>
          <w:lang w:val="en-US"/>
        </w:rPr>
        <w:t>(A)</w:t>
      </w:r>
      <w:r>
        <w:rPr>
          <w:rFonts w:hint="eastAsia"/>
          <w:b/>
          <w:kern w:val="2"/>
          <w:lang w:val="en-US"/>
        </w:rPr>
        <w:t>， 夜间为</w:t>
      </w:r>
      <w:bookmarkStart w:id="33" w:name="夜间边界噪声"/>
      <w:r>
        <w:t>45</w:t>
      </w:r>
      <w:bookmarkEnd w:id="33"/>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4" w:name="_Toc27260"/>
      <w:r>
        <w:t>构件空气声隔声</w:t>
      </w:r>
      <w:bookmarkEnd w:id="34"/>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581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KS防火保温板</w:t>
            </w:r>
          </w:p>
        </w:tc>
        <w:tc>
          <w:tcPr>
            <w:vAlign w:val="center"/>
          </w:tcPr>
          <w:p>
            <w:pPr>
              <w:jc w:val="center"/>
            </w:pPr>
            <w:r>
              <w:t>50</w:t>
            </w:r>
          </w:p>
        </w:tc>
        <w:tc>
          <w:tcPr>
            <w:vAlign w:val="center"/>
          </w:tcPr>
          <w:p>
            <w:pPr>
              <w:jc w:val="center"/>
            </w:pPr>
            <w:r>
              <w:t>150</w:t>
            </w:r>
          </w:p>
        </w:tc>
        <w:tc>
          <w:tcPr>
            <w:vAlign w:val="center"/>
          </w:tcPr>
          <w:p>
            <w:pPr>
              <w:jc w:val="center"/>
            </w:pPr>
            <w:r>
              <w:t>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石墨挤塑聚苯板</w:t>
            </w:r>
          </w:p>
        </w:tc>
        <w:tc>
          <w:tcPr>
            <w:vAlign w:val="center"/>
          </w:tcPr>
          <w:p>
            <w:pPr>
              <w:jc w:val="center"/>
            </w:pPr>
            <w:r>
              <w:t>60</w:t>
            </w:r>
          </w:p>
        </w:tc>
        <w:tc>
          <w:tcPr>
            <w:vAlign w:val="center"/>
          </w:tcPr>
          <w:p>
            <w:pPr>
              <w:jc w:val="center"/>
            </w:pPr>
            <w:r>
              <w:t>30</w:t>
            </w:r>
          </w:p>
        </w:tc>
        <w:tc>
          <w:tcPr>
            <w:vAlign w:val="center"/>
          </w:tcPr>
          <w:p>
            <w:pPr>
              <w:jc w:val="center"/>
            </w:pPr>
            <w:r>
              <w:t>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隔墙1</w:t>
            </w:r>
          </w:p>
        </w:tc>
        <w:tc>
          <w:tcPr>
            <w:vAlign w:val="center"/>
          </w:tcPr>
          <w:p>
            <w:r>
              <w:t>无机轻集料保温浆料Ⅰ型</w:t>
            </w:r>
          </w:p>
        </w:tc>
        <w:tc>
          <w:tcPr>
            <w:vAlign w:val="center"/>
          </w:tcPr>
          <w:p>
            <w:pPr>
              <w:jc w:val="center"/>
            </w:pPr>
            <w:r>
              <w:t>10</w:t>
            </w:r>
          </w:p>
        </w:tc>
        <w:tc>
          <w:tcPr>
            <w:vAlign w:val="center"/>
          </w:tcPr>
          <w:p>
            <w:pPr>
              <w:jc w:val="center"/>
            </w:pPr>
            <w:r>
              <w:t>350</w:t>
            </w:r>
          </w:p>
        </w:tc>
        <w:tc>
          <w:tcPr>
            <w:vAlign w:val="center"/>
          </w:tcPr>
          <w:p>
            <w:pPr>
              <w:jc w:val="center"/>
            </w:pPr>
            <w:r>
              <w:t>4</w:t>
            </w:r>
          </w:p>
        </w:tc>
        <w:tc>
          <w:tcPr>
            <w:vMerge w:val="restart"/>
            <w:vAlign w:val="center"/>
          </w:tcPr>
          <w:p>
            <w:pPr>
              <w:jc w:val="center"/>
            </w:pPr>
            <w:r>
              <w:t>507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无机轻集料保温浆料Ⅰ型</w:t>
            </w:r>
          </w:p>
        </w:tc>
        <w:tc>
          <w:tcPr>
            <w:vAlign w:val="center"/>
          </w:tcPr>
          <w:p>
            <w:pPr>
              <w:jc w:val="center"/>
            </w:pPr>
            <w:r>
              <w:t>10</w:t>
            </w:r>
          </w:p>
        </w:tc>
        <w:tc>
          <w:tcPr>
            <w:vAlign w:val="center"/>
          </w:tcPr>
          <w:p>
            <w:pPr>
              <w:jc w:val="center"/>
            </w:pPr>
            <w:r>
              <w:t>350</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隔墙2</w:t>
            </w:r>
          </w:p>
        </w:tc>
        <w:tc>
          <w:tcPr>
            <w:vAlign w:val="center"/>
          </w:tcPr>
          <w:p>
            <w:r>
              <w:t>无机轻集料保温浆料Ⅰ型</w:t>
            </w:r>
          </w:p>
        </w:tc>
        <w:tc>
          <w:tcPr>
            <w:vAlign w:val="center"/>
          </w:tcPr>
          <w:p>
            <w:pPr>
              <w:jc w:val="center"/>
            </w:pPr>
            <w:r>
              <w:t>15</w:t>
            </w:r>
          </w:p>
        </w:tc>
        <w:tc>
          <w:tcPr>
            <w:vAlign w:val="center"/>
          </w:tcPr>
          <w:p>
            <w:pPr>
              <w:jc w:val="center"/>
            </w:pPr>
            <w:r>
              <w:t>350</w:t>
            </w:r>
          </w:p>
        </w:tc>
        <w:tc>
          <w:tcPr>
            <w:vAlign w:val="center"/>
          </w:tcPr>
          <w:p>
            <w:pPr>
              <w:jc w:val="center"/>
            </w:pPr>
            <w:r>
              <w:t>5</w:t>
            </w:r>
          </w:p>
        </w:tc>
        <w:tc>
          <w:tcPr>
            <w:vMerge w:val="restart"/>
            <w:vAlign w:val="center"/>
          </w:tcPr>
          <w:p>
            <w:pPr>
              <w:jc w:val="center"/>
            </w:pPr>
            <w:r>
              <w:t>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无机轻集料保温浆料Ⅰ型</w:t>
            </w:r>
          </w:p>
        </w:tc>
        <w:tc>
          <w:tcPr>
            <w:vAlign w:val="center"/>
          </w:tcPr>
          <w:p>
            <w:pPr>
              <w:jc w:val="center"/>
            </w:pPr>
            <w:r>
              <w:t>15</w:t>
            </w:r>
          </w:p>
        </w:tc>
        <w:tc>
          <w:tcPr>
            <w:vAlign w:val="center"/>
          </w:tcPr>
          <w:p>
            <w:pPr>
              <w:jc w:val="center"/>
            </w:pPr>
            <w:r>
              <w:t>350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100</w:t>
            </w:r>
          </w:p>
        </w:tc>
        <w:tc>
          <w:tcPr>
            <w:vAlign w:val="center"/>
          </w:tcPr>
          <w:p>
            <w:pPr>
              <w:jc w:val="center"/>
            </w:pPr>
            <w:r>
              <w:t>2500</w:t>
            </w:r>
          </w:p>
        </w:tc>
        <w:tc>
          <w:tcPr>
            <w:vAlign w:val="center"/>
          </w:tcPr>
          <w:p>
            <w:pPr>
              <w:jc w:val="center"/>
            </w:pPr>
            <w:r>
              <w:t>250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5" w:name="最不利房间围护结构材料清单"/>
      <w:bookmarkEnd w:id="35"/>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w:rPr>
              <w:rFonts w:ascii="Cambria Math" w:hAnsi="Cambria Math"/>
            </w:rPr>
            <m:t>R=lgm+lgf            (m≥200kg/</m:t>
          </m:r>
          <m:r>
            <w:rPr>
              <w:rFonts w:hint="eastAsia" w:ascii="Cambria Math" w:hAnsi="Cambria Math"/>
            </w:rPr>
            <m:t>㎡）</m:t>
          </m:r>
        </m:oMath>
      </m:oMathPara>
    </w:p>
    <w:p>
      <w:pPr>
        <w:pStyle w:val="3"/>
        <w:ind w:left="840"/>
        <w:rPr>
          <w:color w:val="FF0000"/>
        </w:rPr>
      </w:pPr>
      <m:oMathPara>
        <m:oMath>
          <m:r>
            <w:rPr>
              <w:rFonts w:ascii="Cambria Math" w:hAnsi="Cambria Math"/>
            </w:rPr>
            <m:t>R=lgm+lgf            (m≤200kg/</m:t>
          </m:r>
          <m: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20mm＋KS防火保温板 50mm＋石墨挤塑聚苯板 60mm＋钢筋混凝土 200mm＋水泥砂浆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20mm＋KS防火保温板 50mm＋石墨挤塑聚苯板 60mm＋钢筋混凝土 200mm＋水泥砂浆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外墙构造2</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20mm＋KS防火保温板 50mm＋石墨挤塑聚苯板 60mm＋钢筋混凝土 200mm＋水泥砂浆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外墙构造3</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20mm＋KS防火保温板 50mm＋石墨挤塑聚苯板 60mm＋钢筋混凝土 200mm＋水泥砂浆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36" w:name="外墙隔声量"/>
      <w:bookmarkEnd w:id="3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外门(乙FM1121)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双层阳台金属外门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外窗(C1515)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12mm氩气Low-E中空玻璃(离线)隔热铝合金窗（下限）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外窗(C2922)</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12mm氩气Low-E中空玻璃(离线)隔热铝合金窗（下限）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37" w:name="门窗隔声量"/>
      <w:bookmarkEnd w:id="37"/>
    </w:p>
    <w:p>
      <w:pPr>
        <w:pStyle w:val="4"/>
      </w:pPr>
      <w:bookmarkStart w:id="38" w:name="_Toc19149"/>
      <w:r>
        <w:rPr>
          <w:rFonts w:hint="eastAsia"/>
        </w:rPr>
        <w:t>房间</w:t>
      </w:r>
      <w:r>
        <w:t>总吸声量计算</w:t>
      </w:r>
      <w:bookmarkEnd w:id="38"/>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pt;width:72.4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5pt;width:16.3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5pt;width:16.3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15pt;width:12.1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10.5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56.1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17.1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内门(M0921)</w:t>
            </w:r>
          </w:p>
        </w:tc>
        <w:tc>
          <w:tcPr>
            <w:shd w:val="clear" w:color="auto" w:fill="E6E6E6"/>
            <w:vAlign w:val="center"/>
          </w:tcPr>
          <w:p>
            <w:r>
              <w:t>3.8</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内门(TM1621)</w:t>
            </w:r>
          </w:p>
        </w:tc>
        <w:tc>
          <w:tcPr>
            <w:shd w:val="clear" w:color="auto" w:fill="E6E6E6"/>
            <w:vAlign w:val="center"/>
          </w:tcPr>
          <w:p>
            <w:r>
              <w:t>3.4</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内门(TM1821)</w:t>
            </w:r>
          </w:p>
        </w:tc>
        <w:tc>
          <w:tcPr>
            <w:shd w:val="clear" w:color="auto" w:fill="E6E6E6"/>
            <w:vAlign w:val="center"/>
          </w:tcPr>
          <w:p>
            <w:r>
              <w:t>3.8</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外窗(C1515)</w:t>
            </w:r>
          </w:p>
        </w:tc>
        <w:tc>
          <w:tcPr>
            <w:shd w:val="clear" w:color="auto" w:fill="E6E6E6"/>
            <w:vAlign w:val="center"/>
          </w:tcPr>
          <w:p>
            <w:r>
              <w:t>2.3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外窗(C2922)</w:t>
            </w:r>
          </w:p>
        </w:tc>
        <w:tc>
          <w:tcPr>
            <w:shd w:val="clear" w:color="auto" w:fill="E6E6E6"/>
            <w:vAlign w:val="center"/>
          </w:tcPr>
          <w:p>
            <w:r>
              <w:t>6.4</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外门(乙FM1121)</w:t>
            </w:r>
          </w:p>
        </w:tc>
        <w:tc>
          <w:tcPr>
            <w:shd w:val="clear" w:color="auto" w:fill="E6E6E6"/>
            <w:vAlign w:val="center"/>
          </w:tcPr>
          <w:p>
            <w:r>
              <w:t>2.3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86.6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22.2</w:t>
            </w:r>
          </w:p>
        </w:tc>
        <w:tc>
          <w:tcPr>
            <w:vAlign w:val="center"/>
          </w:tcPr>
          <w:p>
            <w:r>
              <w:t>12.7</w:t>
            </w:r>
          </w:p>
        </w:tc>
        <w:tc>
          <w:tcPr>
            <w:vAlign w:val="center"/>
          </w:tcPr>
          <w:p>
            <w:r>
              <w:t>13.1</w:t>
            </w:r>
          </w:p>
        </w:tc>
        <w:tc>
          <w:tcPr>
            <w:vAlign w:val="center"/>
          </w:tcPr>
          <w:p>
            <w:r>
              <w:t>14.3</w:t>
            </w:r>
          </w:p>
        </w:tc>
        <w:tc>
          <w:tcPr>
            <w:vAlign w:val="center"/>
          </w:tcPr>
          <w:p>
            <w:r>
              <w:t>17.3</w:t>
            </w:r>
          </w:p>
        </w:tc>
        <w:tc>
          <w:tcPr>
            <w:vAlign w:val="center"/>
          </w:tcPr>
          <w:p/>
        </w:tc>
      </w:tr>
    </w:tbl>
    <w:p>
      <w:pPr>
        <w:jc w:val="center"/>
        <w:rPr>
          <w:lang w:val="en-US"/>
        </w:rPr>
      </w:pPr>
      <w:bookmarkStart w:id="39" w:name="围护结构吸声量"/>
      <w:bookmarkEnd w:id="39"/>
    </w:p>
    <w:p>
      <w:pPr>
        <w:pStyle w:val="4"/>
      </w:pPr>
      <w:bookmarkStart w:id="40" w:name="_Toc15450"/>
      <w:r>
        <w:rPr>
          <w:rFonts w:hint="eastAsia"/>
        </w:rPr>
        <w:t>组合墙</w:t>
      </w:r>
      <w:r>
        <w:t>空气声隔声量计算</w:t>
      </w:r>
      <w:bookmarkEnd w:id="40"/>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1" w:name="_Toc10339"/>
      <w:r>
        <w:rPr>
          <w:rFonts w:hint="eastAsia"/>
        </w:rPr>
        <w:t>组合墙</w:t>
      </w:r>
      <w:r>
        <w:t>有效隔声量</w:t>
      </w:r>
      <w:bookmarkEnd w:id="41"/>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5pt;width:14.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5pt;width:16.3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35pt;width:14.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5pt;width:16.3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2" w:name="_Toc31147"/>
      <w:r>
        <w:rPr>
          <w:rFonts w:hint="eastAsia"/>
        </w:rPr>
        <w:t>组合墙</w:t>
      </w:r>
      <w:r>
        <w:t>隔声单值评价量、频谱修正量</w:t>
      </w:r>
      <w:bookmarkEnd w:id="42"/>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5pt;width:16.3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5pt;width:12.1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5pt;width:12.1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6950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3" w:name="_Toc32602"/>
      <w:r>
        <w:rPr>
          <w:rFonts w:hint="eastAsia"/>
        </w:rPr>
        <w:t>缝隙对组合墙隔声量的影响</w:t>
      </w:r>
      <w:bookmarkEnd w:id="43"/>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15pt;width:14.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15pt;width:14.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44" w:name="_Toc5286"/>
      <w:r>
        <w:rPr>
          <w:rFonts w:hint="eastAsia"/>
        </w:rPr>
        <w:t>组合墙隔声量计算过程</w:t>
      </w:r>
      <w:bookmarkEnd w:id="44"/>
    </w:p>
    <w:p>
      <w:pPr>
        <w:pStyle w:val="3"/>
        <w:ind w:firstLine="420" w:firstLineChars="200"/>
        <w:jc w:val="left"/>
      </w:pPr>
      <w:r>
        <w:t>本建筑最不利房间的情况如下图所示：</w:t>
      </w:r>
    </w:p>
    <w:p>
      <w:pPr>
        <w:jc w:val="center"/>
      </w:pPr>
      <w:bookmarkStart w:id="45" w:name="最不利房间平面图"/>
      <w:bookmarkEnd w:id="45"/>
      <w:r>
        <w:drawing>
          <wp:inline distT="0" distB="0" distL="0" distR="0">
            <wp:extent cx="5667375" cy="3638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外墙1+外窗(C2922)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外窗(C2922)隔声量(dB)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25.9</w:t>
            </w:r>
          </w:p>
        </w:tc>
        <w:tc>
          <w:tcPr>
            <w:vAlign w:val="center"/>
          </w:tcPr>
          <w:p>
            <w:r>
              <w:t>33.9</w:t>
            </w:r>
          </w:p>
        </w:tc>
        <w:tc>
          <w:tcPr>
            <w:vAlign w:val="center"/>
          </w:tcPr>
          <w:p>
            <w:r>
              <w:t>37.9</w:t>
            </w:r>
          </w:p>
        </w:tc>
        <w:tc>
          <w:tcPr>
            <w:vAlign w:val="center"/>
          </w:tcPr>
          <w:p>
            <w:r>
              <w:t>38.9</w:t>
            </w:r>
          </w:p>
        </w:tc>
        <w:tc>
          <w:tcPr>
            <w:vAlign w:val="center"/>
          </w:tcPr>
          <w:p>
            <w:r>
              <w:t>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28.4</w:t>
            </w:r>
          </w:p>
        </w:tc>
        <w:tc>
          <w:tcPr>
            <w:vAlign w:val="center"/>
          </w:tcPr>
          <w:p>
            <w:r>
              <w:t>33.9</w:t>
            </w:r>
          </w:p>
        </w:tc>
        <w:tc>
          <w:tcPr>
            <w:vAlign w:val="center"/>
          </w:tcPr>
          <w:p>
            <w:r>
              <w:t>38.0</w:t>
            </w:r>
          </w:p>
        </w:tc>
        <w:tc>
          <w:tcPr>
            <w:vAlign w:val="center"/>
          </w:tcPr>
          <w:p>
            <w:r>
              <w:t>39.5</w:t>
            </w:r>
          </w:p>
        </w:tc>
        <w:tc>
          <w:tcPr>
            <w:vAlign w:val="center"/>
          </w:tcPr>
          <w:p>
            <w:r>
              <w:t>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外墙2+外门(乙FM1121)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外门(乙FM1121)隔声量(dB)</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27.0</w:t>
            </w:r>
          </w:p>
        </w:tc>
        <w:tc>
          <w:tcPr>
            <w:vAlign w:val="center"/>
          </w:tcPr>
          <w:p>
            <w:r>
              <w:t>34.0</w:t>
            </w:r>
          </w:p>
        </w:tc>
        <w:tc>
          <w:tcPr>
            <w:vAlign w:val="center"/>
          </w:tcPr>
          <w:p>
            <w:r>
              <w:t>38.0</w:t>
            </w:r>
          </w:p>
        </w:tc>
        <w:tc>
          <w:tcPr>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33.8</w:t>
            </w:r>
          </w:p>
        </w:tc>
        <w:tc>
          <w:tcPr>
            <w:vAlign w:val="center"/>
          </w:tcPr>
          <w:p>
            <w:r>
              <w:t>31.4</w:t>
            </w:r>
          </w:p>
        </w:tc>
        <w:tc>
          <w:tcPr>
            <w:vAlign w:val="center"/>
          </w:tcPr>
          <w:p>
            <w:r>
              <w:t>38.5</w:t>
            </w:r>
          </w:p>
        </w:tc>
        <w:tc>
          <w:tcPr>
            <w:vAlign w:val="center"/>
          </w:tcPr>
          <w:p>
            <w:r>
              <w:t>42.9</w:t>
            </w:r>
          </w:p>
        </w:tc>
        <w:tc>
          <w:tcPr>
            <w:vAlign w:val="center"/>
          </w:tcPr>
          <w:p>
            <w:r>
              <w:t>47.7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外墙3+外窗(C1515)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49.0</w:t>
            </w:r>
          </w:p>
        </w:tc>
        <w:tc>
          <w:tcPr>
            <w:vAlign w:val="center"/>
          </w:tcPr>
          <w:p>
            <w:r>
              <w:t>52.3</w:t>
            </w:r>
          </w:p>
        </w:tc>
        <w:tc>
          <w:tcPr>
            <w:vAlign w:val="center"/>
          </w:tcPr>
          <w:p>
            <w:r>
              <w:t>55.6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27.1</w:t>
            </w:r>
          </w:p>
        </w:tc>
        <w:tc>
          <w:tcPr>
            <w:vAlign w:val="center"/>
          </w:tcPr>
          <w:p>
            <w:r>
              <w:t>35.0</w:t>
            </w:r>
          </w:p>
        </w:tc>
        <w:tc>
          <w:tcPr>
            <w:vAlign w:val="center"/>
          </w:tcPr>
          <w:p>
            <w:r>
              <w:t>39.0</w:t>
            </w:r>
          </w:p>
        </w:tc>
        <w:tc>
          <w:tcPr>
            <w:vAlign w:val="center"/>
          </w:tcPr>
          <w:p>
            <w:r>
              <w:t>40.1</w:t>
            </w:r>
          </w:p>
        </w:tc>
        <w:tc>
          <w:tcPr>
            <w:vAlign w:val="center"/>
          </w:tcPr>
          <w:p>
            <w:r>
              <w:t>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32.9</w:t>
            </w:r>
          </w:p>
        </w:tc>
        <w:tc>
          <w:tcPr>
            <w:vAlign w:val="center"/>
          </w:tcPr>
          <w:p>
            <w:r>
              <w:t>38.4</w:t>
            </w:r>
          </w:p>
        </w:tc>
        <w:tc>
          <w:tcPr>
            <w:vAlign w:val="center"/>
          </w:tcPr>
          <w:p>
            <w:r>
              <w:t>42.5</w:t>
            </w:r>
          </w:p>
        </w:tc>
        <w:tc>
          <w:tcPr>
            <w:vAlign w:val="center"/>
          </w:tcPr>
          <w:p>
            <w:r>
              <w:t>44.0</w:t>
            </w:r>
          </w:p>
        </w:tc>
        <w:tc>
          <w:tcPr>
            <w:vAlign w:val="center"/>
          </w:tcPr>
          <w:p>
            <w:r>
              <w:t>49.7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20</w:t>
            </w:r>
          </w:p>
        </w:tc>
      </w:tr>
    </w:tbl>
    <w:p>
      <w:pPr>
        <w:jc w:val="center"/>
        <w:rPr>
          <w:lang w:val="en-US"/>
        </w:rPr>
      </w:pPr>
      <w:bookmarkStart w:id="46" w:name="组合墙隔声量"/>
      <w:bookmarkEnd w:id="46"/>
    </w:p>
    <w:p>
      <w:pPr>
        <w:pStyle w:val="4"/>
      </w:pPr>
      <w:bookmarkStart w:id="47" w:name="_Toc26858"/>
      <w:r>
        <w:rPr>
          <w:rFonts w:hint="eastAsia"/>
        </w:rPr>
        <w:t>室外环境噪声通过组合墙传到室内的噪声级计算</w:t>
      </w:r>
      <w:bookmarkEnd w:id="47"/>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pt;width:117.3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5pt;width:34.6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5pt;width:22.9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5pt;width:27.1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外墙1+外窗(C2922)</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外墙2+外门(乙FM1121)</w:t>
            </w:r>
          </w:p>
        </w:tc>
        <w:tc>
          <w:tcPr>
            <w:vAlign w:val="center"/>
          </w:tcPr>
          <w:p>
            <w:r>
              <w:t>55</w:t>
            </w:r>
          </w:p>
        </w:tc>
        <w:tc>
          <w:tcPr>
            <w:vAlign w:val="center"/>
          </w:tcPr>
          <w:p>
            <w:r>
              <w:t>45</w:t>
            </w:r>
          </w:p>
        </w:tc>
        <w:tc>
          <w:tcPr>
            <w:vAlign w:val="center"/>
          </w:tcPr>
          <w:p>
            <w:r>
              <w:t>19</w:t>
            </w:r>
          </w:p>
        </w:tc>
        <w:tc>
          <w:tcPr>
            <w:vAlign w:val="center"/>
          </w:tcPr>
          <w:p>
            <w:r>
              <w:t>19</w:t>
            </w:r>
          </w:p>
        </w:tc>
        <w:tc>
          <w:tcPr>
            <w:vAlign w:val="center"/>
          </w:tcPr>
          <w:p>
            <w:r>
              <w:t>36</w:t>
            </w:r>
          </w:p>
        </w:tc>
        <w:tc>
          <w:tcPr>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外墙3+外窗(C1515)</w:t>
            </w:r>
          </w:p>
        </w:tc>
        <w:tc>
          <w:tcPr>
            <w:vAlign w:val="center"/>
          </w:tcPr>
          <w:p>
            <w:r>
              <w:t>55</w:t>
            </w:r>
          </w:p>
        </w:tc>
        <w:tc>
          <w:tcPr>
            <w:vAlign w:val="center"/>
          </w:tcPr>
          <w:p>
            <w:r>
              <w:t>45</w:t>
            </w:r>
          </w:p>
        </w:tc>
        <w:tc>
          <w:tcPr>
            <w:vAlign w:val="center"/>
          </w:tcPr>
          <w:p>
            <w:r>
              <w:t>20</w:t>
            </w:r>
          </w:p>
        </w:tc>
        <w:tc>
          <w:tcPr>
            <w:vAlign w:val="center"/>
          </w:tcPr>
          <w:p>
            <w:r>
              <w:t>20</w:t>
            </w:r>
          </w:p>
        </w:tc>
        <w:tc>
          <w:tcPr>
            <w:vAlign w:val="center"/>
          </w:tcPr>
          <w:p>
            <w:r>
              <w:t>35</w:t>
            </w:r>
          </w:p>
        </w:tc>
        <w:tc>
          <w:tcPr>
            <w:vAlign w:val="center"/>
          </w:tcPr>
          <w:p>
            <w:r>
              <w:t>25</w:t>
            </w:r>
          </w:p>
        </w:tc>
      </w:tr>
    </w:tbl>
    <w:p>
      <w:pPr>
        <w:jc w:val="center"/>
      </w:pPr>
      <w:bookmarkStart w:id="48" w:name="组合墙传到室内噪声级"/>
      <w:bookmarkEnd w:id="48"/>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49" w:name="昼间室外传声"/>
      <w:r>
        <w:rPr>
          <w:rFonts w:hint="eastAsia"/>
          <w:bCs/>
          <w:lang w:val="en-US"/>
        </w:rPr>
        <w:t>40</w:t>
      </w:r>
      <w:bookmarkEnd w:id="49"/>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0" w:name="夜间室外传声"/>
      <w:r>
        <w:rPr>
          <w:rFonts w:hint="eastAsia"/>
          <w:bCs/>
          <w:lang w:val="en-US"/>
        </w:rPr>
        <w:t>30</w:t>
      </w:r>
      <w:bookmarkEnd w:id="50"/>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1" w:name="_Toc23061"/>
      <w:r>
        <w:rPr>
          <w:rFonts w:hint="eastAsia"/>
        </w:rPr>
        <w:t>室内声源的影响</w:t>
      </w:r>
      <w:bookmarkEnd w:id="51"/>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5pt;width:16.3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2" w:name="建筑内声源传声"/>
      <w:bookmarkEnd w:id="52"/>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3" w:name="_Toc32091"/>
      <w:r>
        <w:rPr>
          <w:rFonts w:hint="eastAsia"/>
        </w:rPr>
        <w:t>室内噪声级计算</w:t>
      </w:r>
      <w:bookmarkEnd w:id="53"/>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5pt;width:16.3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5pt;width:27.1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5pt;width:16.3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起居室</w:t>
            </w:r>
          </w:p>
        </w:tc>
        <w:tc>
          <w:tcPr>
            <w:vAlign w:val="center"/>
          </w:tcPr>
          <w:p>
            <w:pPr>
              <w:jc w:val="center"/>
            </w:pPr>
            <w:r>
              <w:t>40</w:t>
            </w:r>
          </w:p>
        </w:tc>
        <w:tc>
          <w:tcPr>
            <w:vAlign w:val="center"/>
          </w:tcPr>
          <w:p>
            <w:pPr>
              <w:jc w:val="center"/>
            </w:pPr>
            <w:r>
              <w:t>30</w:t>
            </w:r>
          </w:p>
        </w:tc>
        <w:tc>
          <w:tcPr>
            <w:vAlign w:val="center"/>
          </w:tcPr>
          <w:p>
            <w:pPr>
              <w:jc w:val="center"/>
            </w:pPr>
            <w:r>
              <w:t>低限:≤45,高要求:≤40</w:t>
            </w:r>
          </w:p>
        </w:tc>
        <w:tc>
          <w:tcPr>
            <w:vAlign w:val="center"/>
          </w:tcPr>
          <w:p>
            <w:pPr>
              <w:jc w:val="center"/>
            </w:pPr>
            <w:r>
              <w:t>低限:≤45,高要求:≤40</w:t>
            </w:r>
          </w:p>
        </w:tc>
        <w:tc>
          <w:tcPr>
            <w:vAlign w:val="center"/>
          </w:tcPr>
          <w:p>
            <w:pPr>
              <w:jc w:val="center"/>
            </w:pPr>
            <w:r>
              <w:t>满足高要求</w:t>
            </w:r>
          </w:p>
        </w:tc>
      </w:tr>
    </w:tbl>
    <w:p>
      <w:pPr>
        <w:jc w:val="center"/>
      </w:pPr>
      <w:bookmarkStart w:id="54" w:name="最不利房间室内噪声级统计"/>
      <w:bookmarkEnd w:id="54"/>
    </w:p>
    <w:bookmarkEnd w:id="26"/>
    <w:p>
      <w:pPr>
        <w:pStyle w:val="2"/>
        <w:rPr>
          <w:kern w:val="2"/>
        </w:rPr>
      </w:pPr>
      <w:bookmarkStart w:id="55" w:name="_Toc11559"/>
      <w:r>
        <w:rPr>
          <w:rFonts w:hint="eastAsia"/>
          <w:kern w:val="2"/>
        </w:rPr>
        <w:t>结论</w:t>
      </w:r>
      <w:bookmarkEnd w:id="55"/>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56" w:name="最不利房间编号"/>
      <w:r>
        <w:t>1004房间,房间类型[起居室]</w:t>
      </w:r>
      <w:bookmarkEnd w:id="56"/>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57" w:name="室内噪声控制项结论"/>
            <w:r>
              <w:rPr>
                <w:b/>
                <w:bCs/>
              </w:rPr>
              <w:t>满足</w:t>
            </w:r>
            <w:bookmarkEnd w:id="57"/>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58" w:name="室内噪声评分项结论"/>
            <w:r>
              <w:rPr>
                <w:b/>
                <w:bCs/>
              </w:rPr>
              <w:t>满足高要求</w:t>
            </w:r>
            <w:bookmarkEnd w:id="58"/>
          </w:p>
        </w:tc>
        <w:tc>
          <w:tcPr>
            <w:tcW w:w="724" w:type="dxa"/>
            <w:vAlign w:val="center"/>
          </w:tcPr>
          <w:p>
            <w:pPr>
              <w:jc w:val="center"/>
              <w:rPr>
                <w:b/>
                <w:bCs/>
              </w:rPr>
            </w:pPr>
            <w:bookmarkStart w:id="59" w:name="室内噪声得分"/>
            <w:r>
              <w:rPr>
                <w:b/>
                <w:bCs/>
              </w:rPr>
              <w:t>8</w:t>
            </w:r>
            <w:bookmarkEnd w:id="59"/>
            <w:r>
              <w:rPr>
                <w:rFonts w:hint="eastAsia"/>
                <w:b/>
                <w:bCs/>
              </w:rPr>
              <w:t>分</w:t>
            </w:r>
          </w:p>
        </w:tc>
      </w:tr>
    </w:tbl>
    <w:p>
      <w:pPr>
        <w:pStyle w:val="13"/>
        <w:spacing w:line="360" w:lineRule="auto"/>
        <w:ind w:firstLine="0" w:firstLineChars="0"/>
        <w:rPr>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A906D8"/>
    <w:rsid w:val="00AB5A74"/>
    <w:rsid w:val="00F071AE"/>
    <w:rsid w:val="01982D4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5"/>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Company>ths</Company>
  <Pages>9</Pages>
  <Words>912</Words>
  <Characters>5201</Characters>
  <Lines>43</Lines>
  <Paragraphs>12</Paragraphs>
  <TotalTime>1</TotalTime>
  <ScaleCrop>false</ScaleCrop>
  <LinksUpToDate>false</LinksUpToDate>
  <CharactersWithSpaces>6101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Administrator</cp:lastModifiedBy>
  <cp:lastPrinted>1900-12-31T16:00:00Z</cp:lastPrinted>
  <dcterms:modified xsi:type="dcterms:W3CDTF">2021-11-16T00:03:33Z</dcterms:modified>
  <dc:title>最不利房间室内噪声设计报告书_环评版</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