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惠泽铭苑项目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唐山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HY2021-104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bookmarkStart w:id="5" w:name="设计单位"/>
            <w:r>
              <w:rPr>
                <w:rFonts w:hint="eastAsia" w:ascii="宋体" w:hAnsi="宋体"/>
                <w:szCs w:val="21"/>
              </w:rPr>
              <w:t>唐山昊宇建筑设计有限公司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rPr>
                <w:rFonts w:ascii="宋体" w:hAnsi="宋体"/>
                <w:szCs w:val="21"/>
              </w:rPr>
            </w:pPr>
            <w:r>
              <w:rPr>
                <w:rFonts w:hint="eastAsia" w:ascii="宋体" w:hAnsi="宋体"/>
                <w:szCs w:val="21"/>
                <w:lang w:val="en-US" w:eastAsia="zh-CN"/>
              </w:rPr>
              <w:t>张雨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rPr>
                <w:rFonts w:ascii="宋体" w:hAnsi="宋体"/>
                <w:szCs w:val="21"/>
              </w:rPr>
            </w:pPr>
            <w:r>
              <w:rPr>
                <w:rFonts w:hint="eastAsia" w:ascii="宋体" w:hAnsi="宋体"/>
                <w:szCs w:val="21"/>
                <w:lang w:eastAsia="zh-CN"/>
              </w:rPr>
              <w:t>席丽颖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vAlign w:val="top"/>
          </w:tcPr>
          <w:p>
            <w:pPr>
              <w:rPr>
                <w:rFonts w:ascii="宋体" w:hAnsi="宋体"/>
                <w:szCs w:val="21"/>
              </w:rPr>
            </w:pPr>
            <w:r>
              <w:rPr>
                <w:rFonts w:hint="eastAsia" w:ascii="宋体" w:hAnsi="宋体"/>
                <w:szCs w:val="21"/>
                <w:lang w:eastAsia="zh-CN"/>
              </w:rPr>
              <w:t>车玉建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vAlign w:val="top"/>
          </w:tcPr>
          <w:p>
            <w:pPr>
              <w:rPr>
                <w:rFonts w:ascii="宋体" w:hAnsi="宋体"/>
                <w:szCs w:val="21"/>
              </w:rPr>
            </w:pPr>
            <w:r>
              <w:rPr>
                <w:rFonts w:hint="eastAsia" w:ascii="宋体" w:hAnsi="宋体"/>
                <w:szCs w:val="21"/>
                <w:lang w:eastAsia="zh-CN"/>
              </w:rPr>
              <w:t>车玉建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2021年11月</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_Toc16325 </w:instrText>
      </w:r>
      <w:r>
        <w:rPr>
          <w:rFonts w:ascii="宋体" w:hAnsi="宋体"/>
          <w:bCs w:val="0"/>
          <w:caps/>
        </w:rPr>
        <w:fldChar w:fldCharType="separate"/>
      </w:r>
      <w:r>
        <w:rPr>
          <w:rFonts w:hint="eastAsia"/>
        </w:rPr>
        <w:t>1 项目概况</w:t>
      </w:r>
      <w:r>
        <w:tab/>
      </w:r>
      <w:r>
        <w:fldChar w:fldCharType="begin"/>
      </w:r>
      <w:r>
        <w:instrText xml:space="preserve"> PAGEREF _Toc16325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_Toc22078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_Toc22078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_Toc22993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_Toc22993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_Toc11153 </w:instrText>
      </w:r>
      <w:r>
        <w:fldChar w:fldCharType="separate"/>
      </w:r>
      <w:r>
        <w:rPr>
          <w:rFonts w:hint="eastAsia"/>
        </w:rPr>
        <w:t>2 计算</w:t>
      </w:r>
      <w:r>
        <w:t>依据</w:t>
      </w:r>
      <w:r>
        <w:tab/>
      </w:r>
      <w:r>
        <w:fldChar w:fldCharType="begin"/>
      </w:r>
      <w:r>
        <w:instrText xml:space="preserve"> PAGEREF _Toc11153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_Toc19612 </w:instrText>
      </w:r>
      <w:r>
        <w:fldChar w:fldCharType="separate"/>
      </w:r>
      <w:r>
        <w:rPr>
          <w:rFonts w:hint="eastAsia"/>
        </w:rPr>
        <w:t>3 参考</w:t>
      </w:r>
      <w:r>
        <w:t>标准</w:t>
      </w:r>
      <w:r>
        <w:tab/>
      </w:r>
      <w:r>
        <w:fldChar w:fldCharType="begin"/>
      </w:r>
      <w:r>
        <w:instrText xml:space="preserve"> PAGEREF _Toc19612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_Toc25482 </w:instrText>
      </w:r>
      <w:r>
        <w:fldChar w:fldCharType="separate"/>
      </w:r>
      <w:r>
        <w:rPr>
          <w:rFonts w:hint="eastAsia"/>
        </w:rPr>
        <w:t>4 计算原理</w:t>
      </w:r>
      <w:r>
        <w:tab/>
      </w:r>
      <w:r>
        <w:fldChar w:fldCharType="begin"/>
      </w:r>
      <w:r>
        <w:instrText xml:space="preserve"> PAGEREF _Toc25482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_Toc14781 </w:instrText>
      </w:r>
      <w:r>
        <w:fldChar w:fldCharType="separate"/>
      </w:r>
      <w:r>
        <w:rPr>
          <w:rFonts w:hint="eastAsia"/>
          <w:lang w:val="en-GB"/>
        </w:rPr>
        <w:t xml:space="preserve">4.1 </w:t>
      </w:r>
      <w:r>
        <w:rPr>
          <w:rFonts w:hint="eastAsia"/>
        </w:rPr>
        <w:t>风场计算域</w:t>
      </w:r>
      <w:r>
        <w:tab/>
      </w:r>
      <w:r>
        <w:fldChar w:fldCharType="begin"/>
      </w:r>
      <w:r>
        <w:instrText xml:space="preserve"> PAGEREF _Toc14781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_Toc2714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_Toc2714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_Toc28756 </w:instrText>
      </w:r>
      <w:r>
        <w:fldChar w:fldCharType="separate"/>
      </w:r>
      <w:r>
        <w:rPr>
          <w:rFonts w:hint="eastAsia"/>
          <w:lang w:val="en-GB"/>
        </w:rPr>
        <w:t xml:space="preserve">4.2 </w:t>
      </w:r>
      <w:r>
        <w:rPr>
          <w:rFonts w:hint="eastAsia"/>
        </w:rPr>
        <w:t>网格划分</w:t>
      </w:r>
      <w:r>
        <w:tab/>
      </w:r>
      <w:r>
        <w:fldChar w:fldCharType="begin"/>
      </w:r>
      <w:r>
        <w:instrText xml:space="preserve"> PAGEREF _Toc28756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_Toc32290 </w:instrText>
      </w:r>
      <w:r>
        <w:fldChar w:fldCharType="separate"/>
      </w:r>
      <w:r>
        <w:rPr>
          <w:rFonts w:hint="eastAsia"/>
          <w:lang w:val="en-GB"/>
        </w:rPr>
        <w:t xml:space="preserve">4.3 </w:t>
      </w:r>
      <w:r>
        <w:rPr>
          <w:rFonts w:hint="eastAsia"/>
        </w:rPr>
        <w:t>边界条件</w:t>
      </w:r>
      <w:r>
        <w:tab/>
      </w:r>
      <w:r>
        <w:fldChar w:fldCharType="begin"/>
      </w:r>
      <w:r>
        <w:instrText xml:space="preserve"> PAGEREF _Toc32290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_Toc32755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_Toc32755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_Toc63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_Toc6097 </w:instrText>
      </w:r>
      <w:r>
        <w:fldChar w:fldCharType="separate"/>
      </w:r>
      <w:r>
        <w:rPr>
          <w:rFonts w:hint="eastAsia"/>
          <w:lang w:val="en-GB"/>
        </w:rPr>
        <w:t xml:space="preserve">4.4 </w:t>
      </w:r>
      <w:r>
        <w:rPr>
          <w:rFonts w:hint="eastAsia"/>
        </w:rPr>
        <w:t>湍流模型</w:t>
      </w:r>
      <w:r>
        <w:tab/>
      </w:r>
      <w:r>
        <w:fldChar w:fldCharType="begin"/>
      </w:r>
      <w:r>
        <w:instrText xml:space="preserve"> PAGEREF _Toc6097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_Toc19118 </w:instrText>
      </w:r>
      <w:r>
        <w:fldChar w:fldCharType="separate"/>
      </w:r>
      <w:r>
        <w:rPr>
          <w:rFonts w:hint="eastAsia"/>
          <w:lang w:val="en-GB"/>
        </w:rPr>
        <w:t xml:space="preserve">4.5 </w:t>
      </w:r>
      <w:r>
        <w:rPr>
          <w:rFonts w:hint="eastAsia"/>
        </w:rPr>
        <w:t>求解计算</w:t>
      </w:r>
      <w:r>
        <w:tab/>
      </w:r>
      <w:r>
        <w:fldChar w:fldCharType="begin"/>
      </w:r>
      <w:r>
        <w:instrText xml:space="preserve"> PAGEREF _Toc19118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_Toc15499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_Toc15499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_Toc28931 </w:instrText>
      </w:r>
      <w:r>
        <w:fldChar w:fldCharType="separate"/>
      </w:r>
      <w:r>
        <w:rPr>
          <w:rFonts w:hint="eastAsia"/>
        </w:rPr>
        <w:t>5 结果</w:t>
      </w:r>
      <w:r>
        <w:t>分析</w:t>
      </w:r>
      <w:r>
        <w:tab/>
      </w:r>
      <w:r>
        <w:fldChar w:fldCharType="begin"/>
      </w:r>
      <w:r>
        <w:instrText xml:space="preserve"> PAGEREF _Toc28931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_Toc13227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_Toc13227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_Toc4891 </w:instrText>
      </w:r>
      <w:r>
        <w:fldChar w:fldCharType="separate"/>
      </w:r>
      <w:r>
        <w:rPr>
          <w:rFonts w:hint="eastAsia"/>
          <w:lang w:val="en-GB"/>
        </w:rPr>
        <w:t xml:space="preserve">5.2 </w:t>
      </w:r>
      <w:r>
        <w:rPr>
          <w:rFonts w:hint="eastAsia"/>
        </w:rPr>
        <w:t>冬季工况</w:t>
      </w:r>
      <w:r>
        <w:tab/>
      </w:r>
      <w:r>
        <w:fldChar w:fldCharType="begin"/>
      </w:r>
      <w:r>
        <w:instrText xml:space="preserve"> PAGEREF _Toc4891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_Toc7169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_Toc7169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_Toc29533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_Toc29533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_Toc8208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_Toc8208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_Toc9936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_Toc9936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_Toc15477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_Toc15477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_Toc19593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_Toc19593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_Toc32050 </w:instrText>
      </w:r>
      <w:r>
        <w:fldChar w:fldCharType="separate"/>
      </w:r>
      <w:r>
        <w:rPr>
          <w:rFonts w:hint="eastAsia"/>
          <w:lang w:val="en-GB"/>
        </w:rPr>
        <w:t xml:space="preserve">5.3 </w:t>
      </w:r>
      <w:r>
        <w:rPr>
          <w:rFonts w:hint="eastAsia"/>
        </w:rPr>
        <w:t>结论</w:t>
      </w:r>
      <w:r>
        <w:tab/>
      </w:r>
      <w:r>
        <w:fldChar w:fldCharType="begin"/>
      </w:r>
      <w:r>
        <w:instrText xml:space="preserve"> PAGEREF _Toc32050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_Toc3261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_Toc3261 </w:instrText>
      </w:r>
      <w:r>
        <w:fldChar w:fldCharType="separate"/>
      </w:r>
      <w:r>
        <w:t>18</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16325"/>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2078"/>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8"/>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22993"/>
      <w:bookmarkStart w:id="17" w:name="_Toc452108761"/>
      <w:r>
        <w:rPr>
          <w:rFonts w:hint="eastAsia"/>
        </w:rPr>
        <w:t>三</w:t>
      </w:r>
      <w:r>
        <w:t>维视图</w:t>
      </w:r>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9"/>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452108762"/>
      <w:bookmarkStart w:id="21" w:name="_Toc11153"/>
      <w:bookmarkStart w:id="22" w:name="TitleFormat"/>
      <w:r>
        <w:rPr>
          <w:rFonts w:hint="eastAsia"/>
        </w:rPr>
        <w:t>计算</w:t>
      </w:r>
      <w:r>
        <w:t>依据</w:t>
      </w:r>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河北《绿色建筑评价标准》DB13(J)T8352-2020</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19612"/>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河北《绿色建筑评价标准》DB13(J)T8352-2020中有关室外风环境的条目要求。具体要求如下：</w:t>
      </w:r>
    </w:p>
    <w:p>
      <w:pPr>
        <w:pStyle w:val="3"/>
        <w:ind w:firstLine="420"/>
        <w:rPr>
          <w:lang w:val="en-US"/>
        </w:rPr>
      </w:pPr>
      <w:bookmarkStart w:id="27" w:name="_Toc452108764"/>
      <w:bookmarkStart w:id="28" w:name="_Toc451436145"/>
      <w:bookmarkStart w:id="29" w:name="_Toc45169893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25482"/>
      <w:r>
        <w:rPr>
          <w:rFonts w:hint="eastAsia"/>
        </w:rPr>
        <w:t>计算原理</w:t>
      </w:r>
      <w:bookmarkEnd w:id="27"/>
      <w:bookmarkEnd w:id="34"/>
    </w:p>
    <w:p>
      <w:pPr>
        <w:pStyle w:val="4"/>
        <w:numPr>
          <w:ilvl w:val="1"/>
          <w:numId w:val="3"/>
        </w:numPr>
      </w:pPr>
      <w:bookmarkStart w:id="35" w:name="_Toc509844740"/>
      <w:bookmarkStart w:id="36" w:name="_Toc14781"/>
      <w:bookmarkStart w:id="37" w:name="_Toc451698937"/>
      <w:bookmarkStart w:id="38" w:name="_Toc452108765"/>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2714"/>
      <w:r>
        <w:rPr>
          <w:rFonts w:hint="eastAsia"/>
        </w:rPr>
        <w:t>冬季工况风场计算域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rFonts w:hint="default" w:eastAsia="宋体"/>
                <w:lang w:val="en-US" w:eastAsia="zh-CN"/>
              </w:rPr>
            </w:pPr>
            <w:r>
              <w:rPr>
                <w:rFonts w:hint="eastAsia"/>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rFonts w:hint="default" w:eastAsia="宋体"/>
                <w:lang w:val="en-US" w:eastAsia="zh-CN"/>
              </w:rPr>
            </w:pPr>
            <w:r>
              <w:rPr>
                <w:rFonts w:hint="eastAsia"/>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rFonts w:hint="default" w:eastAsia="宋体"/>
                <w:lang w:val="en-US" w:eastAsia="zh-CN"/>
              </w:rPr>
            </w:pPr>
            <w:bookmarkStart w:id="40" w:name="冬季风场Z尺寸"/>
            <w:r>
              <w:rPr>
                <w:rFonts w:hint="eastAsia"/>
                <w:lang w:val="en-US" w:eastAsia="zh-CN"/>
              </w:rPr>
              <w:t>21</w:t>
            </w:r>
          </w:p>
        </w:tc>
      </w:tr>
    </w:tbl>
    <w:p>
      <w:pPr>
        <w:pStyle w:val="3"/>
        <w:ind w:firstLine="0" w:firstLineChars="0"/>
        <w:jc w:val="center"/>
        <w:rPr>
          <w:lang w:val="en-US"/>
        </w:rPr>
      </w:pPr>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0"/>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509844741"/>
      <w:bookmarkStart w:id="43" w:name="_Toc28756"/>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4" w:name="OLE_LINK276"/>
      <w:bookmarkStart w:id="45" w:name="OLE_LINK277"/>
      <w:r>
        <w:rPr>
          <w:rFonts w:hint="eastAsia"/>
        </w:rPr>
        <w:t>1）普通网格：指除靠近地面和建筑以外的网格，通常不需要特别加密处理</w:t>
      </w:r>
    </w:p>
    <w:p>
      <w:pPr>
        <w:pStyle w:val="12"/>
        <w:numPr>
          <w:ilvl w:val="0"/>
          <w:numId w:val="4"/>
        </w:numPr>
        <w:spacing w:before="156"/>
      </w:pPr>
      <w:bookmarkStart w:id="46" w:name="OLE_LINK15"/>
      <w:r>
        <w:rPr>
          <w:rFonts w:hint="eastAsia"/>
        </w:rPr>
        <w:t>分弧精度：对于有圆弧特征的建筑局部，把圆弧分解为线段时，弦到弧的最大距离；</w:t>
      </w:r>
    </w:p>
    <w:bookmarkEnd w:id="46"/>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4"/>
      <w:bookmarkEnd w:id="45"/>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0</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0.16</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5</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bl>
    <w:p>
      <w:pPr>
        <w:rPr>
          <w:szCs w:val="21"/>
          <w:lang w:val="en-US"/>
        </w:rPr>
      </w:pPr>
    </w:p>
    <w:p>
      <w:pPr>
        <w:jc w:val="center"/>
      </w:pPr>
      <w:r>
        <w:drawing>
          <wp:inline distT="0" distB="0" distL="0" distR="0">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网格图-冬季</w:t>
      </w:r>
    </w:p>
    <w:p>
      <w:pPr>
        <w:pStyle w:val="3"/>
        <w:ind w:firstLine="630" w:firstLineChars="300"/>
        <w:rPr>
          <w:rFonts w:ascii="黑体" w:hAnsi="黑体" w:eastAsia="黑体"/>
          <w:szCs w:val="20"/>
          <w:lang w:val="en-US"/>
        </w:rPr>
      </w:pPr>
      <w:bookmarkStart w:id="47" w:name="网格划分信息"/>
      <w:bookmarkEnd w:id="47"/>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8" w:name="网格图"/>
      <w:bookmarkEnd w:id="48"/>
    </w:p>
    <w:p>
      <w:pPr>
        <w:pStyle w:val="4"/>
        <w:numPr>
          <w:ilvl w:val="1"/>
          <w:numId w:val="3"/>
        </w:numPr>
      </w:pPr>
      <w:bookmarkStart w:id="49" w:name="_Toc509844742"/>
      <w:bookmarkStart w:id="50" w:name="_Toc32290"/>
      <w:r>
        <w:rPr>
          <w:rFonts w:hint="eastAsia"/>
        </w:rPr>
        <w:t>边界条件</w:t>
      </w:r>
      <w:bookmarkEnd w:id="49"/>
      <w:bookmarkEnd w:id="50"/>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1" w:name="_Toc509844743"/>
      <w:bookmarkStart w:id="52" w:name="_Toc32755"/>
      <w:r>
        <w:rPr>
          <w:rFonts w:hint="eastAsia"/>
        </w:rPr>
        <w:t>入口与出口边界条件</w:t>
      </w:r>
      <w:bookmarkEnd w:id="51"/>
      <w:bookmarkEnd w:id="52"/>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3" w:name="地面粗糙度指数2"/>
      <w:r>
        <w:rPr>
          <w:rFonts w:hint="eastAsia"/>
          <w:lang w:val="en-US"/>
        </w:rPr>
        <w:t>0.28</w:t>
      </w:r>
      <w:bookmarkEnd w:id="53"/>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4" w:name="_Toc509844744"/>
      <w:bookmarkStart w:id="55" w:name="_Toc63"/>
      <w:r>
        <w:rPr>
          <w:rFonts w:hint="eastAsia"/>
        </w:rPr>
        <w:t>壁面边界条件</w:t>
      </w:r>
      <w:bookmarkEnd w:id="54"/>
      <w:bookmarkEnd w:id="55"/>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6" w:name="_Toc6097"/>
      <w:r>
        <w:rPr>
          <w:rFonts w:hint="eastAsia"/>
        </w:rPr>
        <w:t>湍流模型</w:t>
      </w:r>
      <w:bookmarkEnd w:id="37"/>
      <w:bookmarkEnd w:id="38"/>
      <w:bookmarkEnd w:id="56"/>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7" w:name="_Toc452108767"/>
      <w:bookmarkStart w:id="58" w:name="_Toc451698939"/>
      <w:bookmarkStart w:id="59" w:name="_Toc19118"/>
      <w:r>
        <w:rPr>
          <w:rFonts w:hint="eastAsia"/>
        </w:rPr>
        <w:t>求解计算</w:t>
      </w:r>
      <w:bookmarkEnd w:id="57"/>
      <w:bookmarkEnd w:id="58"/>
      <w:bookmarkEnd w:id="59"/>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62" w:name="_Toc509844747"/>
      <w:bookmarkStart w:id="63" w:name="_Toc15499"/>
      <w:r>
        <w:rPr>
          <w:rFonts w:hint="eastAsia"/>
        </w:rPr>
        <w:t>风速放大系数计算</w:t>
      </w:r>
      <w:bookmarkEnd w:id="62"/>
      <w:bookmarkEnd w:id="63"/>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4" w:name="地面粗糙度指数"/>
      <w:r>
        <w:rPr>
          <w:rFonts w:hint="eastAsia"/>
          <w:lang w:val="en-US"/>
        </w:rPr>
        <w:t>0.28</w:t>
      </w:r>
      <w:bookmarkEnd w:id="64"/>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5" w:name="_Toc452108768"/>
      <w:bookmarkStart w:id="66" w:name="_Toc28931"/>
      <w:r>
        <w:rPr>
          <w:rFonts w:hint="eastAsia"/>
        </w:rPr>
        <w:t>结果</w:t>
      </w:r>
      <w:r>
        <w:t>分析</w:t>
      </w:r>
      <w:bookmarkEnd w:id="65"/>
      <w:bookmarkEnd w:id="66"/>
    </w:p>
    <w:p>
      <w:pPr>
        <w:pStyle w:val="4"/>
        <w:rPr>
          <w:szCs w:val="21"/>
        </w:rPr>
      </w:pPr>
      <w:bookmarkStart w:id="67" w:name="_Toc13227"/>
      <w:r>
        <w:rPr>
          <w:rFonts w:hint="eastAsia"/>
          <w:szCs w:val="21"/>
        </w:rPr>
        <w:t>工况</w:t>
      </w:r>
      <w:r>
        <w:rPr>
          <w:szCs w:val="21"/>
        </w:rPr>
        <w:t>表</w:t>
      </w:r>
      <w:bookmarkEnd w:id="67"/>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8"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WNW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157.5</w:t>
            </w:r>
          </w:p>
        </w:tc>
      </w:tr>
      <w:bookmarkEnd w:id="68"/>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9" w:name="_Toc4891"/>
      <w:r>
        <w:rPr>
          <w:rFonts w:hint="eastAsia"/>
        </w:rPr>
        <w:t>冬季工况</w:t>
      </w:r>
      <w:bookmarkEnd w:id="69"/>
    </w:p>
    <w:p>
      <w:pPr>
        <w:ind w:firstLine="420" w:firstLineChars="200"/>
        <w:jc w:val="both"/>
      </w:pPr>
      <w:r>
        <w:rPr>
          <w:rFonts w:hint="eastAsia"/>
          <w:lang w:val="en-US"/>
        </w:rPr>
        <w:t>本项目冬季工况的入口边界风速为</w:t>
      </w:r>
      <w:r>
        <w:rPr>
          <w:rFonts w:hint="eastAsia" w:ascii="Calibri" w:hAnsi="Calibri"/>
          <w:szCs w:val="21"/>
        </w:rPr>
        <w:t>2.90</w:t>
      </w:r>
      <w:r>
        <w:rPr>
          <w:rFonts w:ascii="Calibri" w:hAnsi="Calibri"/>
          <w:szCs w:val="21"/>
        </w:rPr>
        <w:t>m/s</w:t>
      </w:r>
      <w:r>
        <w:rPr>
          <w:rFonts w:hint="eastAsia" w:ascii="Calibri" w:hAnsi="Calibri"/>
          <w:szCs w:val="21"/>
        </w:rPr>
        <w:t>，风向为</w:t>
      </w:r>
      <w:r>
        <w:rPr>
          <w:szCs w:val="21"/>
        </w:rPr>
        <w:t>WNW</w:t>
      </w:r>
      <w:r>
        <w:rPr>
          <w:rFonts w:hint="eastAsia"/>
          <w:szCs w:val="21"/>
        </w:rPr>
        <w:t>。</w:t>
      </w:r>
    </w:p>
    <w:p>
      <w:pPr>
        <w:pStyle w:val="5"/>
      </w:pPr>
      <w:bookmarkStart w:id="70" w:name="_Toc7169"/>
      <w:r>
        <w:rPr>
          <w:rFonts w:hint="eastAsia"/>
        </w:rPr>
        <w:t>人行区域风速达标分析</w:t>
      </w:r>
      <w:bookmarkEnd w:id="70"/>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26193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68"/>
                    <a:stretch>
                      <a:fillRect/>
                    </a:stretch>
                  </pic:blipFill>
                  <pic:spPr>
                    <a:xfrm>
                      <a:off x="0" y="0"/>
                      <a:ext cx="5667375" cy="2619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71" w:name="_Toc29533"/>
      <w:r>
        <w:rPr>
          <w:rFonts w:hint="eastAsia"/>
        </w:rPr>
        <w:t>人行区域风速放大系数达标分析</w:t>
      </w:r>
      <w:bookmarkEnd w:id="71"/>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r>
        <w:drawing>
          <wp:inline distT="0" distB="0" distL="0" distR="0">
            <wp:extent cx="5667375" cy="2571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69"/>
                    <a:stretch>
                      <a:fillRect/>
                    </a:stretch>
                  </pic:blipFill>
                  <pic:spPr>
                    <a:xfrm>
                      <a:off x="0" y="0"/>
                      <a:ext cx="5667375" cy="25717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72" w:name="_Toc8208"/>
      <w:r>
        <w:rPr>
          <w:rFonts w:hint="eastAsia"/>
        </w:rPr>
        <w:t>户外休息区、儿童娱乐区</w:t>
      </w:r>
      <w:r>
        <w:t>域风速达标分析</w:t>
      </w:r>
      <w:bookmarkEnd w:id="72"/>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26193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0"/>
                    <a:stretch>
                      <a:fillRect/>
                    </a:stretch>
                  </pic:blipFill>
                  <pic:spPr>
                    <a:xfrm>
                      <a:off x="0" y="0"/>
                      <a:ext cx="5667375" cy="2619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73" w:name="_Toc9936"/>
      <w:r>
        <w:rPr>
          <w:rFonts w:hint="eastAsia"/>
        </w:rPr>
        <w:t>户外休息区、儿童娱乐区风速放大系数达标</w:t>
      </w:r>
      <w:r>
        <w:t>分析</w:t>
      </w:r>
      <w:bookmarkEnd w:id="73"/>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r>
        <w:drawing>
          <wp:inline distT="0" distB="0" distL="0" distR="0">
            <wp:extent cx="5667375" cy="25717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69"/>
                    <a:stretch>
                      <a:fillRect/>
                    </a:stretch>
                  </pic:blipFill>
                  <pic:spPr>
                    <a:xfrm>
                      <a:off x="0" y="0"/>
                      <a:ext cx="5667375" cy="25717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74" w:name="_Toc15477"/>
      <w:r>
        <w:rPr>
          <w:rFonts w:hint="eastAsia"/>
        </w:rPr>
        <w:t>冬季工况风速/风速放大系数达标结果汇总</w:t>
      </w:r>
      <w:bookmarkEnd w:id="7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
      <w:pPr>
        <w:pStyle w:val="5"/>
      </w:pPr>
      <w:bookmarkStart w:id="75" w:name="_Toc19593"/>
      <w:r>
        <w:rPr>
          <w:rFonts w:hint="eastAsia"/>
        </w:rPr>
        <w:t>建筑迎风面和背风面风压分析</w:t>
      </w:r>
      <w:bookmarkEnd w:id="75"/>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r>
        <w:drawing>
          <wp:inline distT="0" distB="0" distL="0" distR="0">
            <wp:extent cx="5667375" cy="2790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2"/>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22"/>
    <w:p>
      <w:pPr>
        <w:pStyle w:val="13"/>
        <w:jc w:val="center"/>
      </w:pPr>
      <w:r>
        <w:drawing>
          <wp:inline distT="0" distB="0" distL="0" distR="0">
            <wp:extent cx="5667375" cy="28194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3"/>
                    <a:stretch>
                      <a:fillRect/>
                    </a:stretch>
                  </pic:blipFill>
                  <pic:spPr>
                    <a:xfrm>
                      <a:off x="0" y="0"/>
                      <a:ext cx="5667375" cy="28194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bookmarkEnd w:id="23"/>
    <w:p>
      <w:pPr>
        <w:jc w:val="center"/>
        <w:rPr>
          <w:rFonts w:ascii="Cambria" w:hAnsi="Cambria" w:eastAsia="黑体"/>
          <w:sz w:val="20"/>
        </w:rPr>
      </w:pPr>
    </w:p>
    <w:bookmarkEnd w:id="2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rFonts w:hint="default" w:eastAsia="宋体"/>
                <w:lang w:val="en-US" w:eastAsia="zh-CN"/>
              </w:rPr>
            </w:pPr>
            <w:r>
              <w:rPr>
                <w:rFonts w:hint="eastAsia"/>
                <w:lang w:val="en-US" w:eastAsia="zh-CN"/>
              </w:rPr>
              <w:t>2.90</w:t>
            </w:r>
          </w:p>
        </w:tc>
        <w:tc>
          <w:tcPr>
            <w:tcW w:w="1276" w:type="dxa"/>
            <w:shd w:val="clear" w:color="auto" w:fill="auto"/>
            <w:vAlign w:val="center"/>
          </w:tcPr>
          <w:p>
            <w:pPr>
              <w:jc w:val="center"/>
              <w:rPr>
                <w:rFonts w:hint="default" w:eastAsia="宋体"/>
                <w:lang w:val="en-US" w:eastAsia="zh-CN"/>
              </w:rPr>
            </w:pPr>
            <w:r>
              <w:rPr>
                <w:rFonts w:hint="eastAsia"/>
                <w:lang w:val="en-US" w:eastAsia="zh-CN"/>
              </w:rPr>
              <w:t>0.20</w:t>
            </w:r>
          </w:p>
        </w:tc>
        <w:tc>
          <w:tcPr>
            <w:tcW w:w="1701" w:type="dxa"/>
            <w:shd w:val="clear" w:color="auto" w:fill="auto"/>
            <w:vAlign w:val="center"/>
          </w:tcPr>
          <w:p>
            <w:pPr>
              <w:jc w:val="center"/>
              <w:rPr>
                <w:rFonts w:hint="default" w:eastAsia="宋体"/>
                <w:lang w:val="en-US" w:eastAsia="zh-CN"/>
              </w:rPr>
            </w:pPr>
            <w:r>
              <w:rPr>
                <w:rFonts w:hint="eastAsia"/>
                <w:lang w:val="en-US" w:eastAsia="zh-CN"/>
              </w:rPr>
              <w:t>2.70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未命名(68ADD)</w:t>
            </w:r>
          </w:p>
        </w:tc>
        <w:tc>
          <w:tcPr>
            <w:tcW w:w="1276" w:type="dxa"/>
            <w:shd w:val="clear" w:color="auto" w:fill="auto"/>
            <w:vAlign w:val="center"/>
          </w:tcPr>
          <w:p>
            <w:pPr>
              <w:jc w:val="center"/>
              <w:rPr>
                <w:rFonts w:hint="default" w:eastAsia="宋体"/>
                <w:lang w:val="en-US" w:eastAsia="zh-CN"/>
              </w:rPr>
            </w:pPr>
            <w:r>
              <w:rPr>
                <w:rFonts w:hint="eastAsia"/>
                <w:lang w:val="en-US" w:eastAsia="zh-CN"/>
              </w:rPr>
              <w:t>2.10</w:t>
            </w:r>
          </w:p>
        </w:tc>
        <w:tc>
          <w:tcPr>
            <w:tcW w:w="1276" w:type="dxa"/>
            <w:shd w:val="clear" w:color="auto" w:fill="auto"/>
            <w:vAlign w:val="center"/>
          </w:tcPr>
          <w:p>
            <w:pPr>
              <w:jc w:val="center"/>
              <w:rPr>
                <w:lang w:val="en-US"/>
              </w:rPr>
            </w:pPr>
            <w:r>
              <w:rPr>
                <w:lang w:val="en-US"/>
              </w:rPr>
              <w:t>0.</w:t>
            </w:r>
            <w:r>
              <w:rPr>
                <w:rFonts w:hint="eastAsia"/>
                <w:lang w:val="en-US" w:eastAsia="zh-CN"/>
              </w:rPr>
              <w:t>1</w:t>
            </w:r>
            <w:r>
              <w:rPr>
                <w:lang w:val="en-US"/>
              </w:rPr>
              <w:t>0</w:t>
            </w:r>
          </w:p>
        </w:tc>
        <w:tc>
          <w:tcPr>
            <w:tcW w:w="1701" w:type="dxa"/>
            <w:shd w:val="clear" w:color="auto" w:fill="auto"/>
            <w:vAlign w:val="center"/>
          </w:tcPr>
          <w:p>
            <w:pPr>
              <w:jc w:val="center"/>
              <w:rPr>
                <w:rFonts w:hint="default" w:eastAsia="宋体"/>
                <w:lang w:val="en-US" w:eastAsia="zh-CN"/>
              </w:rPr>
            </w:pPr>
            <w:r>
              <w:rPr>
                <w:rFonts w:hint="eastAsia"/>
                <w:lang w:val="en-US" w:eastAsia="zh-CN"/>
              </w:rPr>
              <w:t>2.00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未命名(68ADE)</w:t>
            </w:r>
          </w:p>
        </w:tc>
        <w:tc>
          <w:tcPr>
            <w:tcW w:w="1276" w:type="dxa"/>
            <w:shd w:val="clear" w:color="auto" w:fill="auto"/>
            <w:vAlign w:val="center"/>
          </w:tcPr>
          <w:p>
            <w:pPr>
              <w:jc w:val="center"/>
              <w:rPr>
                <w:rFonts w:hint="default" w:eastAsia="宋体"/>
                <w:lang w:val="en-US" w:eastAsia="zh-CN"/>
              </w:rPr>
            </w:pPr>
            <w:r>
              <w:rPr>
                <w:rFonts w:hint="eastAsia"/>
                <w:lang w:val="en-US" w:eastAsia="zh-CN"/>
              </w:rPr>
              <w:t>2.10</w:t>
            </w:r>
          </w:p>
        </w:tc>
        <w:tc>
          <w:tcPr>
            <w:tcW w:w="1276" w:type="dxa"/>
            <w:shd w:val="clear" w:color="auto" w:fill="auto"/>
            <w:vAlign w:val="center"/>
          </w:tcPr>
          <w:p>
            <w:pPr>
              <w:jc w:val="center"/>
              <w:rPr>
                <w:lang w:val="en-US"/>
              </w:rPr>
            </w:pPr>
            <w:r>
              <w:rPr>
                <w:lang w:val="en-US"/>
              </w:rPr>
              <w:t>0.</w:t>
            </w:r>
            <w:r>
              <w:rPr>
                <w:rFonts w:hint="eastAsia"/>
                <w:lang w:val="en-US" w:eastAsia="zh-CN"/>
              </w:rPr>
              <w:t>1</w:t>
            </w:r>
            <w:r>
              <w:rPr>
                <w:lang w:val="en-US"/>
              </w:rPr>
              <w:t>0</w:t>
            </w:r>
          </w:p>
        </w:tc>
        <w:tc>
          <w:tcPr>
            <w:tcW w:w="1701" w:type="dxa"/>
            <w:shd w:val="clear" w:color="auto" w:fill="auto"/>
            <w:vAlign w:val="center"/>
          </w:tcPr>
          <w:p>
            <w:pPr>
              <w:jc w:val="center"/>
              <w:rPr>
                <w:rFonts w:hint="default" w:eastAsia="宋体"/>
                <w:lang w:val="en-US" w:eastAsia="zh-CN"/>
              </w:rPr>
            </w:pPr>
            <w:r>
              <w:rPr>
                <w:rFonts w:hint="eastAsia"/>
                <w:lang w:val="en-US" w:eastAsia="zh-CN"/>
              </w:rPr>
              <w:t>2.00</w:t>
            </w:r>
          </w:p>
        </w:tc>
        <w:tc>
          <w:tcPr>
            <w:tcW w:w="973" w:type="dxa"/>
            <w:shd w:val="clear" w:color="auto" w:fill="auto"/>
            <w:vAlign w:val="center"/>
          </w:tcPr>
          <w:p>
            <w:pPr>
              <w:jc w:val="center"/>
              <w:rPr>
                <w:lang w:val="en-US"/>
              </w:rPr>
            </w:pPr>
            <w:r>
              <w:rPr>
                <w:lang w:val="en-US"/>
              </w:rPr>
              <w:t>是</w:t>
            </w:r>
          </w:p>
        </w:tc>
      </w:tr>
      <w:bookmarkEnd w:id="26"/>
      <w:bookmarkEnd w:id="29"/>
    </w:tbl>
    <w:p>
      <w:pPr>
        <w:rPr>
          <w:lang w:val="en-US"/>
        </w:rPr>
      </w:pPr>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76" w:name="冬季工况"/>
      <w:bookmarkEnd w:id="76"/>
      <w:r>
        <w:rPr>
          <w:rFonts w:hint="eastAsia"/>
          <w:lang w:val="en-US"/>
        </w:rPr>
        <w:t xml:space="preserve"> </w:t>
      </w:r>
      <w:bookmarkStart w:id="82" w:name="_GoBack"/>
      <w:bookmarkEnd w:id="82"/>
    </w:p>
    <w:p>
      <w:pPr>
        <w:rPr>
          <w:lang w:val="en-US"/>
        </w:rPr>
      </w:pPr>
      <w:bookmarkStart w:id="77" w:name="其他工况"/>
      <w:bookmarkEnd w:id="77"/>
      <w:r>
        <w:rPr>
          <w:rFonts w:hint="eastAsia"/>
          <w:lang w:val="en-US"/>
        </w:rPr>
        <w:t xml:space="preserve"> </w:t>
      </w:r>
    </w:p>
    <w:p>
      <w:pPr>
        <w:pStyle w:val="4"/>
      </w:pPr>
      <w:bookmarkStart w:id="78" w:name="_Toc509844764"/>
      <w:bookmarkStart w:id="79" w:name="_Toc32050"/>
      <w:r>
        <w:rPr>
          <w:rFonts w:hint="eastAsia"/>
        </w:rPr>
        <w:t>结论</w:t>
      </w:r>
      <w:bookmarkEnd w:id="78"/>
      <w:bookmarkEnd w:id="79"/>
    </w:p>
    <w:p>
      <w:pPr>
        <w:pStyle w:val="5"/>
      </w:pPr>
      <w:bookmarkStart w:id="80" w:name="_Toc3261"/>
      <w:r>
        <w:rPr>
          <w:rFonts w:hint="eastAsia"/>
        </w:rPr>
        <w:t>冬季工况达标判断</w:t>
      </w:r>
      <w:bookmarkEnd w:id="0"/>
      <w:bookmarkEnd w:id="1"/>
      <w:bookmarkEnd w:id="8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w:t>
            </w:r>
            <w:bookmarkEnd w:id="2"/>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4"/>
            <w:r>
              <w:rPr>
                <w:rFonts w:hint="eastAsia"/>
                <w:lang w:val="en-US"/>
              </w:rPr>
              <w:t>风速大于</w:t>
            </w:r>
            <w:r>
              <w:rPr>
                <w:lang w:val="en-US"/>
              </w:rPr>
              <w:t>5m/s</w:t>
            </w:r>
            <w:r>
              <w:rPr>
                <w:rFonts w:hint="eastAsia"/>
                <w:lang w:val="en-US"/>
              </w:rPr>
              <w:t>的区域，户外休息区、儿童娱乐区</w:t>
            </w:r>
            <w:r>
              <w:t>没有出现</w:t>
            </w:r>
            <w:bookmarkEnd w:id="5"/>
            <w:r>
              <w:rPr>
                <w:rFonts w:hint="eastAsia"/>
                <w:lang w:val="en-US"/>
              </w:rPr>
              <w:t>风速大于2m/s的区域</w:t>
            </w:r>
            <w:bookmarkEnd w:id="3"/>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6"/>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End w:id="8"/>
            <w:r>
              <w:rPr>
                <w:rFonts w:hint="eastAsia"/>
                <w:lang w:val="en-US"/>
              </w:rPr>
              <w:t>、户外休息区</w:t>
            </w:r>
            <w:r>
              <w:rPr>
                <w:lang w:val="en-US"/>
              </w:rPr>
              <w:t>、</w:t>
            </w:r>
            <w:r>
              <w:rPr>
                <w:rFonts w:hint="eastAsia"/>
                <w:lang w:val="en-US"/>
              </w:rPr>
              <w:t>儿童娱乐区</w:t>
            </w:r>
            <w:r>
              <w:t>没有出现</w:t>
            </w:r>
            <w:bookmarkEnd w:id="10"/>
            <w:r>
              <w:rPr>
                <w:rFonts w:hint="eastAsia"/>
                <w:lang w:val="en-US"/>
              </w:rPr>
              <w:t>风速放大系数大于等于2的区域</w:t>
            </w:r>
            <w:bookmarkEnd w:id="40"/>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11"/>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13"/>
            <w:r>
              <w:rPr>
                <w:rFonts w:hint="eastAsia"/>
                <w:lang w:val="en-US"/>
              </w:rPr>
              <w:t>建筑迎</w:t>
            </w:r>
            <w:bookmarkEnd w:id="14"/>
            <w:r>
              <w:rPr>
                <w:rFonts w:hint="eastAsia"/>
                <w:lang w:val="en-US"/>
              </w:rPr>
              <w:t>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15"/>
          </w:p>
        </w:tc>
        <w:tc>
          <w:tcPr>
            <w:tcW w:w="1416" w:type="dxa"/>
            <w:shd w:val="clear" w:color="auto" w:fill="auto"/>
            <w:vAlign w:val="center"/>
          </w:tcPr>
          <w:p>
            <w:pPr>
              <w:jc w:val="center"/>
              <w:rPr>
                <w:lang w:val="en-US"/>
              </w:rPr>
            </w:pPr>
            <w:r>
              <w:rPr>
                <w:rFonts w:hint="eastAsia"/>
                <w:lang w:val="en-US"/>
              </w:rPr>
              <w:t>2</w:t>
            </w:r>
            <w:bookmarkEnd w:id="17"/>
            <w:r>
              <w:rPr>
                <w:rFonts w:hint="eastAsia"/>
                <w:lang w:val="en-US"/>
              </w:rPr>
              <w:t>分</w:t>
            </w:r>
          </w:p>
        </w:tc>
      </w:tr>
      <w:bookmarkEnd w:id="18"/>
      <w:bookmarkEnd w:id="19"/>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81" w:name="总得分"/>
      <w:r>
        <w:rPr>
          <w:rFonts w:hint="eastAsia"/>
          <w:lang w:val="en-US"/>
        </w:rPr>
        <w:t>5</w:t>
      </w:r>
      <w:bookmarkEnd w:id="8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55A6CFA"/>
    <w:rsid w:val="31C8086A"/>
    <w:rsid w:val="47D82E6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13</TotalTime>
  <ScaleCrop>false</ScaleCrop>
  <LinksUpToDate>false</LinksUpToDate>
  <CharactersWithSpaces>5722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Administrator</cp:lastModifiedBy>
  <cp:lastPrinted>1900-12-31T16:00:00Z</cp:lastPrinted>
  <dcterms:modified xsi:type="dcterms:W3CDTF">2021-11-16T06:12:01Z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