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r>
              <w:rPr>
                <w:rFonts w:hint="eastAsia" w:ascii="宋体" w:hAnsi="宋体"/>
                <w:szCs w:val="21"/>
              </w:rPr>
              <w:t>惠泽铭苑项目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唐山</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vAlign w:val="top"/>
          </w:tcPr>
          <w:p>
            <w:pPr>
              <w:pStyle w:val="3"/>
              <w:ind w:firstLine="420" w:firstLineChars="200"/>
              <w:rPr>
                <w:rFonts w:ascii="宋体" w:hAnsi="宋体"/>
                <w:szCs w:val="21"/>
              </w:rPr>
            </w:pPr>
            <w:bookmarkStart w:id="2" w:name="设计编号"/>
            <w:bookmarkEnd w:id="2"/>
            <w:r>
              <w:rPr>
                <w:rFonts w:hint="eastAsia" w:ascii="宋体" w:hAnsi="宋体"/>
                <w:szCs w:val="21"/>
              </w:rPr>
              <w:t>HY2021-104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vAlign w:val="top"/>
          </w:tcPr>
          <w:p>
            <w:pPr>
              <w:pStyle w:val="3"/>
              <w:ind w:firstLine="420" w:firstLineChars="200"/>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vAlign w:val="top"/>
          </w:tcPr>
          <w:p>
            <w:pPr>
              <w:rPr>
                <w:rFonts w:ascii="宋体" w:hAnsi="宋体"/>
                <w:szCs w:val="21"/>
              </w:rPr>
            </w:pPr>
            <w:bookmarkStart w:id="4" w:name="设计单位"/>
            <w:bookmarkEnd w:id="4"/>
            <w:r>
              <w:rPr>
                <w:rFonts w:hint="eastAsia" w:ascii="宋体" w:hAnsi="宋体"/>
                <w:szCs w:val="21"/>
              </w:rPr>
              <w:t>唐山昊宇建筑设计有限公司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vAlign w:val="top"/>
          </w:tcPr>
          <w:p>
            <w:pPr>
              <w:rPr>
                <w:rFonts w:ascii="宋体" w:hAnsi="宋体"/>
                <w:szCs w:val="21"/>
              </w:rPr>
            </w:pPr>
            <w:r>
              <w:rPr>
                <w:rFonts w:hint="eastAsia" w:ascii="宋体" w:hAnsi="宋体"/>
                <w:szCs w:val="21"/>
                <w:lang w:val="en-US" w:eastAsia="zh-CN"/>
              </w:rPr>
              <w:t>张雨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vAlign w:val="top"/>
          </w:tcPr>
          <w:p>
            <w:pPr>
              <w:rPr>
                <w:rFonts w:ascii="宋体" w:hAnsi="宋体"/>
                <w:szCs w:val="21"/>
              </w:rPr>
            </w:pPr>
            <w:r>
              <w:rPr>
                <w:rFonts w:hint="eastAsia" w:ascii="宋体" w:hAnsi="宋体"/>
                <w:szCs w:val="21"/>
                <w:lang w:eastAsia="zh-CN"/>
              </w:rPr>
              <w:t>席丽颖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vAlign w:val="top"/>
          </w:tcPr>
          <w:p>
            <w:pPr>
              <w:rPr>
                <w:rFonts w:ascii="宋体" w:hAnsi="宋体"/>
                <w:szCs w:val="21"/>
              </w:rPr>
            </w:pPr>
            <w:r>
              <w:rPr>
                <w:rFonts w:hint="eastAsia" w:ascii="宋体" w:hAnsi="宋体"/>
                <w:szCs w:val="21"/>
                <w:lang w:eastAsia="zh-CN"/>
              </w:rPr>
              <w:t>车玉建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vAlign w:val="top"/>
          </w:tcPr>
          <w:p>
            <w:pPr>
              <w:rPr>
                <w:rFonts w:ascii="宋体" w:hAnsi="宋体"/>
                <w:szCs w:val="21"/>
              </w:rPr>
            </w:pPr>
            <w:r>
              <w:rPr>
                <w:rFonts w:hint="eastAsia" w:ascii="宋体" w:hAnsi="宋体"/>
                <w:szCs w:val="21"/>
              </w:rPr>
              <w:t>2021年11月</w:t>
            </w:r>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住区热环境TERA2022</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20210808(SP1)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SP1A53E94F</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_Toc28974 </w:instrText>
      </w:r>
      <w:r>
        <w:rPr>
          <w:rFonts w:ascii="宋体" w:hAnsi="宋体"/>
          <w:bCs w:val="0"/>
          <w:caps/>
        </w:rPr>
        <w:fldChar w:fldCharType="separate"/>
      </w:r>
      <w:r>
        <w:rPr>
          <w:rFonts w:hint="eastAsia"/>
        </w:rPr>
        <w:t>1 住区概况</w:t>
      </w:r>
      <w:r>
        <w:tab/>
      </w:r>
      <w:r>
        <w:fldChar w:fldCharType="begin"/>
      </w:r>
      <w:r>
        <w:instrText xml:space="preserve"> PAGEREF _Toc28974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_Toc3331 </w:instrText>
      </w:r>
      <w:r>
        <w:fldChar w:fldCharType="separate"/>
      </w:r>
      <w:r>
        <w:rPr>
          <w:rFonts w:hint="eastAsia"/>
        </w:rPr>
        <w:t>2 设计依据</w:t>
      </w:r>
      <w:r>
        <w:tab/>
      </w:r>
      <w:r>
        <w:fldChar w:fldCharType="begin"/>
      </w:r>
      <w:r>
        <w:instrText xml:space="preserve"> PAGEREF _Toc3331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_Toc10904 </w:instrText>
      </w:r>
      <w:r>
        <w:fldChar w:fldCharType="separate"/>
      </w:r>
      <w:r>
        <w:rPr>
          <w:rFonts w:hint="eastAsia"/>
        </w:rPr>
        <w:t>3 计算规定</w:t>
      </w:r>
      <w:r>
        <w:tab/>
      </w:r>
      <w:r>
        <w:fldChar w:fldCharType="begin"/>
      </w:r>
      <w:r>
        <w:instrText xml:space="preserve"> PAGEREF _Toc10904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_Toc6092 </w:instrText>
      </w:r>
      <w:r>
        <w:fldChar w:fldCharType="separate"/>
      </w:r>
      <w:r>
        <w:rPr>
          <w:rFonts w:hint="eastAsia"/>
          <w:lang w:val="en-GB"/>
        </w:rPr>
        <w:t xml:space="preserve">3.1 </w:t>
      </w:r>
      <w:r>
        <w:rPr>
          <w:rFonts w:hint="eastAsia"/>
        </w:rPr>
        <w:t>强制条文</w:t>
      </w:r>
      <w:r>
        <w:tab/>
      </w:r>
      <w:r>
        <w:fldChar w:fldCharType="begin"/>
      </w:r>
      <w:r>
        <w:instrText xml:space="preserve"> PAGEREF _Toc6092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_Toc29385 </w:instrText>
      </w:r>
      <w:r>
        <w:fldChar w:fldCharType="separate"/>
      </w:r>
      <w:r>
        <w:rPr>
          <w:rFonts w:hint="eastAsia"/>
          <w:lang w:val="en-GB"/>
        </w:rPr>
        <w:t xml:space="preserve">3.2 </w:t>
      </w:r>
      <w:r>
        <w:rPr>
          <w:rFonts w:hint="eastAsia"/>
        </w:rPr>
        <w:t>评价性设计</w:t>
      </w:r>
      <w:r>
        <w:tab/>
      </w:r>
      <w:r>
        <w:fldChar w:fldCharType="begin"/>
      </w:r>
      <w:r>
        <w:instrText xml:space="preserve"> PAGEREF _Toc29385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_Toc23736 </w:instrText>
      </w:r>
      <w:r>
        <w:fldChar w:fldCharType="separate"/>
      </w:r>
      <w:r>
        <w:rPr>
          <w:rFonts w:hint="eastAsia"/>
        </w:rPr>
        <w:t>4 计算方法</w:t>
      </w:r>
      <w:r>
        <w:tab/>
      </w:r>
      <w:r>
        <w:fldChar w:fldCharType="begin"/>
      </w:r>
      <w:r>
        <w:instrText xml:space="preserve"> PAGEREF _Toc23736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_Toc17962 </w:instrText>
      </w:r>
      <w:r>
        <w:fldChar w:fldCharType="separate"/>
      </w:r>
      <w:r>
        <w:rPr>
          <w:rFonts w:hint="eastAsia"/>
        </w:rPr>
        <w:t>5 计算参数</w:t>
      </w:r>
      <w:r>
        <w:tab/>
      </w:r>
      <w:r>
        <w:fldChar w:fldCharType="begin"/>
      </w:r>
      <w:r>
        <w:instrText xml:space="preserve"> PAGEREF _Toc17962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_Toc3139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_Toc3139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_Toc2588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_Toc2588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_Toc23000 </w:instrText>
      </w:r>
      <w:r>
        <w:fldChar w:fldCharType="separate"/>
      </w:r>
      <w:r>
        <w:rPr>
          <w:rFonts w:hint="eastAsia"/>
        </w:rPr>
        <w:t>6 指标概览</w:t>
      </w:r>
      <w:r>
        <w:tab/>
      </w:r>
      <w:r>
        <w:fldChar w:fldCharType="begin"/>
      </w:r>
      <w:r>
        <w:instrText xml:space="preserve"> PAGEREF _Toc23000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_Toc8636 </w:instrText>
      </w:r>
      <w:r>
        <w:fldChar w:fldCharType="separate"/>
      </w:r>
      <w:r>
        <w:rPr>
          <w:rFonts w:hint="eastAsia"/>
          <w:lang w:val="en-GB"/>
        </w:rPr>
        <w:t xml:space="preserve">6.1 </w:t>
      </w:r>
      <w:r>
        <w:rPr>
          <w:rFonts w:hint="eastAsia"/>
        </w:rPr>
        <w:t>建筑列表</w:t>
      </w:r>
      <w:r>
        <w:tab/>
      </w:r>
      <w:r>
        <w:fldChar w:fldCharType="begin"/>
      </w:r>
      <w:r>
        <w:instrText xml:space="preserve"> PAGEREF _Toc8636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_Toc11255 </w:instrText>
      </w:r>
      <w:r>
        <w:fldChar w:fldCharType="separate"/>
      </w:r>
      <w:r>
        <w:rPr>
          <w:rFonts w:hint="eastAsia"/>
          <w:lang w:val="en-GB"/>
        </w:rPr>
        <w:t xml:space="preserve">6.2 </w:t>
      </w:r>
      <w:r>
        <w:rPr>
          <w:rFonts w:hint="eastAsia"/>
        </w:rPr>
        <w:t>住区指标</w:t>
      </w:r>
      <w:r>
        <w:tab/>
      </w:r>
      <w:r>
        <w:fldChar w:fldCharType="begin"/>
      </w:r>
      <w:r>
        <w:instrText xml:space="preserve"> PAGEREF _Toc11255 </w:instrText>
      </w:r>
      <w:r>
        <w:fldChar w:fldCharType="separate"/>
      </w:r>
      <w:r>
        <w:t>8</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_Toc4606 </w:instrText>
      </w:r>
      <w:r>
        <w:fldChar w:fldCharType="separate"/>
      </w:r>
      <w:r>
        <w:rPr>
          <w:rFonts w:hint="eastAsia"/>
        </w:rPr>
        <w:t>7 强条</w:t>
      </w:r>
      <w:r>
        <w:t>检查</w:t>
      </w:r>
      <w:r>
        <w:tab/>
      </w:r>
      <w:r>
        <w:fldChar w:fldCharType="begin"/>
      </w:r>
      <w:r>
        <w:instrText xml:space="preserve"> PAGEREF _Toc4606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_Toc4720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_Toc4720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_Toc30583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_Toc30583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_Toc23421 </w:instrText>
      </w:r>
      <w:r>
        <w:fldChar w:fldCharType="separate"/>
      </w:r>
      <w:r>
        <w:rPr>
          <w:rFonts w:hint="eastAsia"/>
        </w:rPr>
        <w:t>8 评价性设计</w:t>
      </w:r>
      <w:r>
        <w:tab/>
      </w:r>
      <w:r>
        <w:fldChar w:fldCharType="begin"/>
      </w:r>
      <w:r>
        <w:instrText xml:space="preserve"> PAGEREF _Toc23421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_Toc25477 </w:instrText>
      </w:r>
      <w:r>
        <w:fldChar w:fldCharType="separate"/>
      </w:r>
      <w:r>
        <w:rPr>
          <w:rFonts w:hint="eastAsia"/>
          <w:lang w:val="en-GB"/>
        </w:rPr>
        <w:t xml:space="preserve">8.1 </w:t>
      </w:r>
      <w:r>
        <w:rPr>
          <w:rFonts w:hint="eastAsia"/>
        </w:rPr>
        <w:t>平均热岛强度</w:t>
      </w:r>
      <w:r>
        <w:tab/>
      </w:r>
      <w:r>
        <w:fldChar w:fldCharType="begin"/>
      </w:r>
      <w:r>
        <w:instrText xml:space="preserve"> PAGEREF _Toc25477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_Toc9935 </w:instrText>
      </w:r>
      <w:r>
        <w:fldChar w:fldCharType="separate"/>
      </w:r>
      <w:r>
        <w:rPr>
          <w:rFonts w:hint="eastAsia"/>
          <w:lang w:val="en-GB"/>
        </w:rPr>
        <w:t xml:space="preserve">8.2 </w:t>
      </w:r>
      <w:r>
        <w:rPr>
          <w:rFonts w:hint="eastAsia"/>
        </w:rPr>
        <w:t>湿球黑球温度</w:t>
      </w:r>
      <w:r>
        <w:tab/>
      </w:r>
      <w:r>
        <w:fldChar w:fldCharType="begin"/>
      </w:r>
      <w:r>
        <w:instrText xml:space="preserve"> PAGEREF _Toc9935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_Toc9150 </w:instrText>
      </w:r>
      <w:r>
        <w:fldChar w:fldCharType="separate"/>
      </w:r>
      <w:r>
        <w:rPr>
          <w:rFonts w:hint="eastAsia"/>
        </w:rPr>
        <w:t>9 结论</w:t>
      </w:r>
      <w:r>
        <w:tab/>
      </w:r>
      <w:r>
        <w:fldChar w:fldCharType="begin"/>
      </w:r>
      <w:r>
        <w:instrText xml:space="preserve"> PAGEREF _Toc9150 </w:instrText>
      </w:r>
      <w:r>
        <w:fldChar w:fldCharType="separate"/>
      </w:r>
      <w:r>
        <w:t>10</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28974"/>
      <w:r>
        <w:rPr>
          <w:rFonts w:hint="eastAsia"/>
        </w:rPr>
        <w:t>住区概况</w:t>
      </w:r>
      <w:bookmarkEnd w:id="10"/>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bookmarkEnd w:id="11"/>
            <w:r>
              <w:rPr>
                <w:rFonts w:hint="eastAsia" w:ascii="宋体" w:hAnsi="宋体"/>
                <w:szCs w:val="21"/>
              </w:rPr>
              <w:t>惠泽铭苑项目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2" w:name="工程地点"/>
            <w:r>
              <w:t>唐山</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3" w:name="纬度"/>
            <w:r>
              <w:t>39.60</w:t>
            </w:r>
            <w:bookmarkEnd w:id="1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4" w:name="经度"/>
            <w:r>
              <w:t>118.18</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5" w:name="气候区"/>
            <w:r>
              <w:t>IIA</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6" w:name="主导风向"/>
            <w:r>
              <w:t>西南偏南</w:t>
            </w:r>
            <w:bookmarkEnd w:id="16"/>
          </w:p>
        </w:tc>
      </w:tr>
    </w:tbl>
    <w:p>
      <w:pPr>
        <w:pStyle w:val="3"/>
        <w:ind w:firstLine="420"/>
        <w:rPr>
          <w:lang w:val="en-US"/>
        </w:rPr>
      </w:pPr>
    </w:p>
    <w:p>
      <w:pPr>
        <w:pStyle w:val="3"/>
        <w:ind w:firstLine="420"/>
        <w:jc w:val="center"/>
        <w:rPr>
          <w:lang w:val="en-US"/>
        </w:rPr>
      </w:pPr>
      <w:bookmarkStart w:id="17" w:name="总图鸟瞰图"/>
      <w:bookmarkEnd w:id="17"/>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8" w:name="OLE_LINK3"/>
      <w:bookmarkStart w:id="19" w:name="OLE_LINK4"/>
      <w:r>
        <w:rPr>
          <w:rFonts w:hint="eastAsia" w:ascii="宋体" w:hAnsi="宋体"/>
        </w:rPr>
        <w:t>图</w:t>
      </w:r>
      <w:r>
        <w:rPr>
          <w:rFonts w:ascii="宋体" w:hAnsi="宋体"/>
        </w:rPr>
        <w:t>1</w:t>
      </w:r>
      <w:r>
        <w:rPr>
          <w:rFonts w:hint="eastAsia" w:ascii="宋体" w:hAnsi="宋体"/>
        </w:rPr>
        <w:t>.1 场地鸟瞰图</w:t>
      </w:r>
      <w:bookmarkEnd w:id="18"/>
      <w:bookmarkEnd w:id="19"/>
    </w:p>
    <w:p>
      <w:pPr>
        <w:pStyle w:val="3"/>
        <w:ind w:firstLine="420"/>
        <w:rPr>
          <w:lang w:val="en-US"/>
        </w:rPr>
      </w:pPr>
    </w:p>
    <w:p>
      <w:pPr>
        <w:pStyle w:val="3"/>
        <w:ind w:firstLine="420"/>
        <w:jc w:val="center"/>
        <w:rPr>
          <w:lang w:val="en-US"/>
        </w:rPr>
      </w:pPr>
      <w:bookmarkStart w:id="20" w:name="总图平面图"/>
      <w:bookmarkEnd w:id="20"/>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1" w:name="_Toc3331"/>
      <w:bookmarkStart w:id="22" w:name="TitleFormat"/>
      <w:r>
        <w:rPr>
          <w:rFonts w:hint="eastAsia"/>
        </w:rPr>
        <w:t>设计依据</w:t>
      </w:r>
      <w:bookmarkEnd w:id="21"/>
    </w:p>
    <w:p>
      <w:pPr>
        <w:widowControl w:val="0"/>
        <w:spacing w:line="360" w:lineRule="auto"/>
        <w:jc w:val="both"/>
        <w:rPr>
          <w:kern w:val="2"/>
          <w:szCs w:val="24"/>
          <w:lang w:val="en-US"/>
        </w:rPr>
      </w:pPr>
      <w:bookmarkStart w:id="23" w:name="计算依据"/>
      <w:r>
        <w:t>1. 《绿色建筑评价标准》GB/T 50378-2019</w:t>
      </w:r>
      <w:r>
        <w:br w:type="textWrapping"/>
      </w:r>
      <w:r>
        <w:t>2. 《城市居住区热环境设计标准》JGJ 286-2013</w:t>
      </w:r>
      <w:bookmarkEnd w:id="22"/>
      <w:bookmarkEnd w:id="23"/>
    </w:p>
    <w:p>
      <w:pPr>
        <w:pStyle w:val="2"/>
      </w:pPr>
      <w:bookmarkStart w:id="24" w:name="_Toc10904"/>
      <w:r>
        <w:rPr>
          <w:rFonts w:hint="eastAsia"/>
        </w:rPr>
        <w:t>计算规定</w:t>
      </w:r>
      <w:bookmarkEnd w:id="24"/>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5" w:name="_Toc16494769"/>
      <w:bookmarkStart w:id="26" w:name="_Toc6092"/>
      <w:r>
        <w:rPr>
          <w:rFonts w:hint="eastAsia"/>
        </w:rPr>
        <w:t>强制条文</w:t>
      </w:r>
      <w:bookmarkEnd w:id="25"/>
      <w:bookmarkEnd w:id="26"/>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7" w:name="_Toc16494771"/>
      <w:bookmarkStart w:id="28" w:name="_Toc29385"/>
      <w:r>
        <w:rPr>
          <w:rFonts w:hint="eastAsia"/>
        </w:rPr>
        <w:t>评价性设计</w:t>
      </w:r>
      <w:bookmarkEnd w:id="27"/>
      <w:bookmarkEnd w:id="28"/>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9" w:name="_Toc23736"/>
      <w:r>
        <w:rPr>
          <w:rFonts w:hint="eastAsia"/>
        </w:rPr>
        <w:t>计算方法</w:t>
      </w:r>
      <w:bookmarkEnd w:id="29"/>
    </w:p>
    <w:p>
      <w:pPr>
        <w:widowControl w:val="0"/>
        <w:spacing w:line="360" w:lineRule="auto"/>
        <w:jc w:val="both"/>
        <w:rPr>
          <w:kern w:val="2"/>
          <w:szCs w:val="21"/>
          <w:lang w:val="en-US"/>
        </w:rPr>
      </w:pPr>
      <w:bookmarkStart w:id="30" w:name="计算方法"/>
      <w:bookmarkEnd w:id="30"/>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6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6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6pt;width:295.2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6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4pt;width:7.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6pt;width:28.8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6pt;width:28.8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6pt;width:43.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6pt;width:43.2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6pt;width:28.8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6pt;width:43.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6pt;width:64.8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6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6pt;width:28.8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4pt;width:14.4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2pt;width:7.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6pt;width:28.8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2pt;width:21.6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1" w:name="_Toc17962"/>
      <w:r>
        <w:rPr>
          <w:rFonts w:hint="eastAsia"/>
        </w:rPr>
        <w:t>计算参数</w:t>
      </w:r>
      <w:bookmarkEnd w:id="31"/>
    </w:p>
    <w:p>
      <w:pPr>
        <w:pStyle w:val="4"/>
      </w:pPr>
      <w:bookmarkStart w:id="32" w:name="_Toc3139"/>
      <w:r>
        <w:rPr>
          <w:rFonts w:hint="eastAsia"/>
        </w:rPr>
        <w:t>典型气象日气象参数</w:t>
      </w:r>
      <w:bookmarkEnd w:id="3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29.3</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3.7</w:t>
            </w:r>
          </w:p>
        </w:tc>
        <w:tc>
          <w:tcPr>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29.0</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28.9</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29.2</w:t>
            </w:r>
          </w:p>
        </w:tc>
        <w:tc>
          <w:tcPr>
            <w:vAlign w:val="center"/>
          </w:tcPr>
          <w:p>
            <w:pPr>
              <w:jc w:val="center"/>
            </w:pPr>
            <w:r>
              <w:t>67</w:t>
            </w:r>
          </w:p>
        </w:tc>
        <w:tc>
          <w:tcPr>
            <w:vAlign w:val="center"/>
          </w:tcPr>
          <w:p>
            <w:pPr>
              <w:jc w:val="center"/>
            </w:pPr>
            <w:r>
              <w:t>19.44</w:t>
            </w:r>
          </w:p>
        </w:tc>
        <w:tc>
          <w:tcPr>
            <w:vAlign w:val="center"/>
          </w:tcPr>
          <w:p>
            <w:pPr>
              <w:jc w:val="center"/>
            </w:pPr>
            <w:r>
              <w:t>19.44</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29.7</w:t>
            </w:r>
          </w:p>
        </w:tc>
        <w:tc>
          <w:tcPr>
            <w:vAlign w:val="center"/>
          </w:tcPr>
          <w:p>
            <w:pPr>
              <w:jc w:val="center"/>
            </w:pPr>
            <w:r>
              <w:t>66</w:t>
            </w:r>
          </w:p>
        </w:tc>
        <w:tc>
          <w:tcPr>
            <w:vAlign w:val="center"/>
          </w:tcPr>
          <w:p>
            <w:pPr>
              <w:jc w:val="center"/>
            </w:pPr>
            <w:r>
              <w:t>105.56</w:t>
            </w:r>
          </w:p>
        </w:tc>
        <w:tc>
          <w:tcPr>
            <w:vAlign w:val="center"/>
          </w:tcPr>
          <w:p>
            <w:pPr>
              <w:jc w:val="center"/>
            </w:pPr>
            <w:r>
              <w:t>77.78</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30.4</w:t>
            </w:r>
          </w:p>
        </w:tc>
        <w:tc>
          <w:tcPr>
            <w:vAlign w:val="center"/>
          </w:tcPr>
          <w:p>
            <w:pPr>
              <w:jc w:val="center"/>
            </w:pPr>
            <w:r>
              <w:t>64</w:t>
            </w:r>
          </w:p>
        </w:tc>
        <w:tc>
          <w:tcPr>
            <w:vAlign w:val="center"/>
          </w:tcPr>
          <w:p>
            <w:pPr>
              <w:jc w:val="center"/>
            </w:pPr>
            <w:r>
              <w:t>211.11</w:t>
            </w:r>
          </w:p>
        </w:tc>
        <w:tc>
          <w:tcPr>
            <w:vAlign w:val="center"/>
          </w:tcPr>
          <w:p>
            <w:pPr>
              <w:jc w:val="center"/>
            </w:pPr>
            <w:r>
              <w:t>138.89</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31.3</w:t>
            </w:r>
          </w:p>
        </w:tc>
        <w:tc>
          <w:tcPr>
            <w:vAlign w:val="center"/>
          </w:tcPr>
          <w:p>
            <w:pPr>
              <w:jc w:val="center"/>
            </w:pPr>
            <w:r>
              <w:t>62</w:t>
            </w:r>
          </w:p>
        </w:tc>
        <w:tc>
          <w:tcPr>
            <w:vAlign w:val="center"/>
          </w:tcPr>
          <w:p>
            <w:pPr>
              <w:jc w:val="center"/>
            </w:pPr>
            <w:r>
              <w:t>319.44</w:t>
            </w:r>
          </w:p>
        </w:tc>
        <w:tc>
          <w:tcPr>
            <w:vAlign w:val="center"/>
          </w:tcPr>
          <w:p>
            <w:pPr>
              <w:jc w:val="center"/>
            </w:pPr>
            <w:r>
              <w:t>191.67</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32.2</w:t>
            </w:r>
          </w:p>
        </w:tc>
        <w:tc>
          <w:tcPr>
            <w:vAlign w:val="center"/>
          </w:tcPr>
          <w:p>
            <w:pPr>
              <w:jc w:val="center"/>
            </w:pPr>
            <w:r>
              <w:t>60</w:t>
            </w:r>
          </w:p>
        </w:tc>
        <w:tc>
          <w:tcPr>
            <w:vAlign w:val="center"/>
          </w:tcPr>
          <w:p>
            <w:pPr>
              <w:jc w:val="center"/>
            </w:pPr>
            <w:r>
              <w:t>425.00</w:t>
            </w:r>
          </w:p>
        </w:tc>
        <w:tc>
          <w:tcPr>
            <w:vAlign w:val="center"/>
          </w:tcPr>
          <w:p>
            <w:pPr>
              <w:jc w:val="center"/>
            </w:pPr>
            <w:r>
              <w:t>236.11</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33.1</w:t>
            </w:r>
          </w:p>
        </w:tc>
        <w:tc>
          <w:tcPr>
            <w:vAlign w:val="center"/>
          </w:tcPr>
          <w:p>
            <w:pPr>
              <w:jc w:val="center"/>
            </w:pPr>
            <w:r>
              <w:t>57</w:t>
            </w:r>
          </w:p>
        </w:tc>
        <w:tc>
          <w:tcPr>
            <w:vAlign w:val="center"/>
          </w:tcPr>
          <w:p>
            <w:pPr>
              <w:jc w:val="center"/>
            </w:pPr>
            <w:r>
              <w:t>508.33</w:t>
            </w:r>
          </w:p>
        </w:tc>
        <w:tc>
          <w:tcPr>
            <w:vAlign w:val="center"/>
          </w:tcPr>
          <w:p>
            <w:pPr>
              <w:jc w:val="center"/>
            </w:pPr>
            <w:r>
              <w:t>269.44</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33.9</w:t>
            </w:r>
          </w:p>
        </w:tc>
        <w:tc>
          <w:tcPr>
            <w:vAlign w:val="center"/>
          </w:tcPr>
          <w:p>
            <w:pPr>
              <w:jc w:val="center"/>
            </w:pPr>
            <w:r>
              <w:t>56</w:t>
            </w:r>
          </w:p>
        </w:tc>
        <w:tc>
          <w:tcPr>
            <w:vAlign w:val="center"/>
          </w:tcPr>
          <w:p>
            <w:pPr>
              <w:jc w:val="center"/>
            </w:pPr>
            <w:r>
              <w:t>561.11</w:t>
            </w:r>
          </w:p>
        </w:tc>
        <w:tc>
          <w:tcPr>
            <w:vAlign w:val="center"/>
          </w:tcPr>
          <w:p>
            <w:pPr>
              <w:jc w:val="center"/>
            </w:pPr>
            <w:r>
              <w:t>288.89</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34.5</w:t>
            </w:r>
          </w:p>
        </w:tc>
        <w:tc>
          <w:tcPr>
            <w:vAlign w:val="center"/>
          </w:tcPr>
          <w:p>
            <w:pPr>
              <w:jc w:val="center"/>
            </w:pPr>
            <w:r>
              <w:t>54</w:t>
            </w:r>
          </w:p>
        </w:tc>
        <w:tc>
          <w:tcPr>
            <w:vAlign w:val="center"/>
          </w:tcPr>
          <w:p>
            <w:pPr>
              <w:jc w:val="center"/>
            </w:pPr>
            <w:r>
              <w:t>575.00</w:t>
            </w:r>
          </w:p>
        </w:tc>
        <w:tc>
          <w:tcPr>
            <w:vAlign w:val="center"/>
          </w:tcPr>
          <w:p>
            <w:pPr>
              <w:jc w:val="center"/>
            </w:pPr>
            <w:r>
              <w:t>294.44</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34.8</w:t>
            </w:r>
          </w:p>
        </w:tc>
        <w:tc>
          <w:tcPr>
            <w:vAlign w:val="center"/>
          </w:tcPr>
          <w:p>
            <w:pPr>
              <w:jc w:val="center"/>
            </w:pPr>
            <w:r>
              <w:t>54</w:t>
            </w:r>
          </w:p>
        </w:tc>
        <w:tc>
          <w:tcPr>
            <w:vAlign w:val="center"/>
          </w:tcPr>
          <w:p>
            <w:pPr>
              <w:jc w:val="center"/>
            </w:pPr>
            <w:r>
              <w:t>547.22</w:t>
            </w:r>
          </w:p>
        </w:tc>
        <w:tc>
          <w:tcPr>
            <w:vAlign w:val="center"/>
          </w:tcPr>
          <w:p>
            <w:pPr>
              <w:jc w:val="center"/>
            </w:pPr>
            <w:r>
              <w:t>286.11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34.7</w:t>
            </w:r>
          </w:p>
        </w:tc>
        <w:tc>
          <w:tcPr>
            <w:vAlign w:val="center"/>
          </w:tcPr>
          <w:p>
            <w:pPr>
              <w:jc w:val="center"/>
            </w:pPr>
            <w:r>
              <w:t>54</w:t>
            </w:r>
          </w:p>
        </w:tc>
        <w:tc>
          <w:tcPr>
            <w:vAlign w:val="center"/>
          </w:tcPr>
          <w:p>
            <w:pPr>
              <w:jc w:val="center"/>
            </w:pPr>
            <w:r>
              <w:t>480.56</w:t>
            </w:r>
          </w:p>
        </w:tc>
        <w:tc>
          <w:tcPr>
            <w:vAlign w:val="center"/>
          </w:tcPr>
          <w:p>
            <w:pPr>
              <w:jc w:val="center"/>
            </w:pPr>
            <w:r>
              <w:t>258.33</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34.2</w:t>
            </w:r>
          </w:p>
        </w:tc>
        <w:tc>
          <w:tcPr>
            <w:vAlign w:val="center"/>
          </w:tcPr>
          <w:p>
            <w:pPr>
              <w:jc w:val="center"/>
            </w:pPr>
            <w:r>
              <w:t>56</w:t>
            </w:r>
          </w:p>
        </w:tc>
        <w:tc>
          <w:tcPr>
            <w:vAlign w:val="center"/>
          </w:tcPr>
          <w:p>
            <w:pPr>
              <w:jc w:val="center"/>
            </w:pPr>
            <w:r>
              <w:t>386.11</w:t>
            </w:r>
          </w:p>
        </w:tc>
        <w:tc>
          <w:tcPr>
            <w:vAlign w:val="center"/>
          </w:tcPr>
          <w:p>
            <w:pPr>
              <w:jc w:val="center"/>
            </w:pPr>
            <w:r>
              <w:t>216.67</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33.6</w:t>
            </w:r>
          </w:p>
        </w:tc>
        <w:tc>
          <w:tcPr>
            <w:vAlign w:val="center"/>
          </w:tcPr>
          <w:p>
            <w:pPr>
              <w:jc w:val="center"/>
            </w:pPr>
            <w:r>
              <w:t>58</w:t>
            </w:r>
          </w:p>
        </w:tc>
        <w:tc>
          <w:tcPr>
            <w:vAlign w:val="center"/>
          </w:tcPr>
          <w:p>
            <w:pPr>
              <w:jc w:val="center"/>
            </w:pPr>
            <w:r>
              <w:t>277.78</w:t>
            </w:r>
          </w:p>
        </w:tc>
        <w:tc>
          <w:tcPr>
            <w:vAlign w:val="center"/>
          </w:tcPr>
          <w:p>
            <w:pPr>
              <w:jc w:val="center"/>
            </w:pPr>
            <w:r>
              <w:t>166.67</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32.7</w:t>
            </w:r>
          </w:p>
        </w:tc>
        <w:tc>
          <w:tcPr>
            <w:vAlign w:val="center"/>
          </w:tcPr>
          <w:p>
            <w:pPr>
              <w:jc w:val="center"/>
            </w:pPr>
            <w:r>
              <w:t>60</w:t>
            </w:r>
          </w:p>
        </w:tc>
        <w:tc>
          <w:tcPr>
            <w:vAlign w:val="center"/>
          </w:tcPr>
          <w:p>
            <w:pPr>
              <w:jc w:val="center"/>
            </w:pPr>
            <w:r>
              <w:t>169.44</w:t>
            </w:r>
          </w:p>
        </w:tc>
        <w:tc>
          <w:tcPr>
            <w:vAlign w:val="center"/>
          </w:tcPr>
          <w:p>
            <w:pPr>
              <w:jc w:val="center"/>
            </w:pPr>
            <w:r>
              <w:t>111.11</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31.9</w:t>
            </w:r>
          </w:p>
        </w:tc>
        <w:tc>
          <w:tcPr>
            <w:vAlign w:val="center"/>
          </w:tcPr>
          <w:p>
            <w:pPr>
              <w:jc w:val="center"/>
            </w:pPr>
            <w:r>
              <w:t>62</w:t>
            </w:r>
          </w:p>
        </w:tc>
        <w:tc>
          <w:tcPr>
            <w:vAlign w:val="center"/>
          </w:tcPr>
          <w:p>
            <w:pPr>
              <w:jc w:val="center"/>
            </w:pPr>
            <w:r>
              <w:t>72.22</w:t>
            </w:r>
          </w:p>
        </w:tc>
        <w:tc>
          <w:tcPr>
            <w:vAlign w:val="center"/>
          </w:tcPr>
          <w:p>
            <w:pPr>
              <w:jc w:val="center"/>
            </w:pPr>
            <w:r>
              <w:t>50.00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31.1</w:t>
            </w:r>
          </w:p>
        </w:tc>
        <w:tc>
          <w:tcPr>
            <w:vAlign w:val="center"/>
          </w:tcPr>
          <w:p>
            <w:pPr>
              <w:jc w:val="center"/>
            </w:pPr>
            <w:r>
              <w:t>64</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30.4</w:t>
            </w:r>
          </w:p>
        </w:tc>
        <w:tc>
          <w:tcPr>
            <w:vAlign w:val="center"/>
          </w:tcPr>
          <w:p>
            <w:pPr>
              <w:jc w:val="center"/>
            </w:pPr>
            <w:r>
              <w:t>66</w:t>
            </w:r>
          </w:p>
        </w:tc>
        <w:tc>
          <w:tcPr>
            <w:vAlign w:val="center"/>
          </w:tcPr>
          <w:p>
            <w:pPr>
              <w:jc w:val="center"/>
            </w:pPr>
            <w:r>
              <w:t>0.00</w:t>
            </w:r>
          </w:p>
        </w:tc>
        <w:tc>
          <w:tcPr>
            <w:vAlign w:val="center"/>
          </w:tcPr>
          <w:p>
            <w:pPr>
              <w:jc w:val="center"/>
            </w:pPr>
            <w:r>
              <w:t>0.00</w:t>
            </w:r>
          </w:p>
        </w:tc>
        <w:tc>
          <w:tcPr>
            <w:vAlign w:val="center"/>
          </w:tcPr>
          <w:p>
            <w:pPr>
              <w:jc w:val="center"/>
            </w:pPr>
            <w:r>
              <w:t>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29.9</w:t>
            </w:r>
          </w:p>
        </w:tc>
        <w:tc>
          <w:tcPr>
            <w:vAlign w:val="center"/>
          </w:tcPr>
          <w:p>
            <w:pPr>
              <w:jc w:val="center"/>
            </w:pPr>
            <w:r>
              <w:t>67</w:t>
            </w:r>
          </w:p>
        </w:tc>
        <w:tc>
          <w:tcPr>
            <w:vAlign w:val="center"/>
          </w:tcPr>
          <w:p>
            <w:pPr>
              <w:jc w:val="center"/>
            </w:pPr>
            <w:r>
              <w:t>0.00</w:t>
            </w:r>
          </w:p>
        </w:tc>
        <w:tc>
          <w:tcPr>
            <w:vAlign w:val="center"/>
          </w:tcPr>
          <w:p>
            <w:pPr>
              <w:jc w:val="center"/>
            </w:pPr>
            <w:r>
              <w:t>0.00</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29.5</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29.2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31.3</w:t>
            </w:r>
          </w:p>
        </w:tc>
        <w:tc>
          <w:tcPr>
            <w:vAlign w:val="center"/>
          </w:tcPr>
          <w:p>
            <w:pPr>
              <w:jc w:val="center"/>
            </w:pPr>
            <w:r>
              <w:t>63</w:t>
            </w:r>
          </w:p>
        </w:tc>
        <w:tc>
          <w:tcPr>
            <w:vAlign w:val="center"/>
          </w:tcPr>
          <w:p>
            <w:pPr>
              <w:jc w:val="center"/>
            </w:pPr>
            <w:r>
              <w:t>194.10</w:t>
            </w:r>
          </w:p>
        </w:tc>
        <w:tc>
          <w:tcPr>
            <w:vAlign w:val="center"/>
          </w:tcPr>
          <w:p>
            <w:pPr>
              <w:jc w:val="center"/>
            </w:pPr>
            <w:r>
              <w:t>108.56</w:t>
            </w:r>
          </w:p>
        </w:tc>
        <w:tc>
          <w:tcPr>
            <w:vAlign w:val="center"/>
          </w:tcPr>
          <w:p>
            <w:pPr>
              <w:jc w:val="center"/>
            </w:pPr>
            <w:r>
              <w:t>3.2</w:t>
            </w:r>
          </w:p>
        </w:tc>
        <w:tc>
          <w:tcPr>
            <w:vMerge w:val="continue"/>
            <w:vAlign w:val="center"/>
          </w:tcPr>
          <w:p>
            <w:pPr>
              <w:jc w:val="center"/>
            </w:pPr>
          </w:p>
        </w:tc>
      </w:tr>
    </w:tbl>
    <w:p>
      <w:pPr>
        <w:pStyle w:val="3"/>
        <w:ind w:firstLine="0" w:firstLineChars="0"/>
        <w:rPr>
          <w:lang w:val="en-US"/>
        </w:rPr>
      </w:pPr>
      <w:bookmarkStart w:id="33" w:name="气象参数"/>
      <w:bookmarkEnd w:id="33"/>
    </w:p>
    <w:p>
      <w:pPr>
        <w:pStyle w:val="4"/>
      </w:pPr>
      <w:bookmarkStart w:id="34" w:name="_Toc2588"/>
      <w:r>
        <w:rPr>
          <w:rFonts w:hint="eastAsia"/>
        </w:rPr>
        <w:t>渗透面夏季逐时蒸发量</w:t>
      </w:r>
      <w:bookmarkEnd w:id="34"/>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pPr>
        <w:pStyle w:val="3"/>
        <w:ind w:firstLine="0" w:firstLineChars="0"/>
        <w:rPr>
          <w:lang w:val="en-US"/>
        </w:rPr>
      </w:pPr>
      <w:bookmarkStart w:id="35" w:name="蒸发量参数"/>
      <w:bookmarkEnd w:id="35"/>
    </w:p>
    <w:p>
      <w:pPr>
        <w:pStyle w:val="2"/>
      </w:pPr>
      <w:bookmarkStart w:id="36" w:name="_Toc23000"/>
      <w:r>
        <w:rPr>
          <w:rFonts w:hint="eastAsia"/>
        </w:rPr>
        <w:t>指标概览</w:t>
      </w:r>
      <w:bookmarkEnd w:id="36"/>
    </w:p>
    <w:p>
      <w:pPr>
        <w:pStyle w:val="4"/>
      </w:pPr>
      <w:bookmarkStart w:id="37" w:name="_Toc8636"/>
      <w:r>
        <w:rPr>
          <w:rFonts w:hint="eastAsia"/>
        </w:rPr>
        <w:t>建筑列表</w:t>
      </w:r>
      <w:bookmarkEnd w:id="3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bl>
    <w:p>
      <w:pPr>
        <w:pStyle w:val="3"/>
        <w:ind w:firstLine="420"/>
        <w:rPr>
          <w:lang w:val="en-US"/>
        </w:rPr>
      </w:pPr>
      <w:bookmarkStart w:id="38" w:name="建筑列表"/>
      <w:bookmarkEnd w:id="38"/>
    </w:p>
    <w:p>
      <w:pPr>
        <w:pStyle w:val="4"/>
      </w:pPr>
      <w:bookmarkStart w:id="39" w:name="_Toc11255"/>
      <w:r>
        <w:rPr>
          <w:rFonts w:hint="eastAsia"/>
        </w:rPr>
        <w:t>住区指标</w:t>
      </w:r>
      <w:bookmarkEnd w:id="39"/>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8.09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40" w:name="住区指标概览"/>
      <w:bookmarkEnd w:id="40"/>
    </w:p>
    <w:p>
      <w:pPr>
        <w:pStyle w:val="2"/>
      </w:pPr>
      <w:bookmarkStart w:id="41" w:name="_Toc16494776"/>
      <w:bookmarkStart w:id="42" w:name="_Toc4606"/>
      <w:r>
        <w:rPr>
          <w:rFonts w:hint="eastAsia"/>
        </w:rPr>
        <w:t>强</w:t>
      </w:r>
      <w:bookmarkEnd w:id="41"/>
      <w:r>
        <w:rPr>
          <w:rFonts w:hint="eastAsia"/>
        </w:rPr>
        <w:t>条</w:t>
      </w:r>
      <w:r>
        <w:t>检查</w:t>
      </w:r>
      <w:bookmarkEnd w:id="42"/>
    </w:p>
    <w:p>
      <w:pPr>
        <w:pStyle w:val="4"/>
      </w:pPr>
      <w:bookmarkStart w:id="43" w:name="_Toc16494777"/>
      <w:bookmarkStart w:id="44" w:name="_Toc4720"/>
      <w:r>
        <w:rPr>
          <w:rFonts w:hint="eastAsia"/>
        </w:rPr>
        <w:t>平均迎风面积比</w:t>
      </w:r>
      <w:bookmarkEnd w:id="43"/>
      <w:bookmarkEnd w:id="44"/>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pPr>
              <w:rPr>
                <w:rFonts w:hint="default" w:eastAsia="宋体"/>
                <w:lang w:val="en-US" w:eastAsia="zh-CN"/>
              </w:rPr>
            </w:pPr>
            <w:r>
              <w:rPr>
                <w:b/>
              </w:rPr>
              <w:t>0</w:t>
            </w:r>
            <w:r>
              <w:rPr>
                <w:rFonts w:hint="eastAsia"/>
                <w:b/>
                <w:lang w:val="en-US" w:eastAsia="zh-CN"/>
              </w:rP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5" w:name="平均迎风面积比"/>
      <w:bookmarkEnd w:id="45"/>
    </w:p>
    <w:p>
      <w:pPr>
        <w:pStyle w:val="4"/>
      </w:pPr>
      <w:bookmarkStart w:id="46" w:name="_Toc16494778"/>
      <w:bookmarkStart w:id="47" w:name="_Toc30583"/>
      <w:r>
        <w:rPr>
          <w:rFonts w:hint="eastAsia"/>
        </w:rPr>
        <w:t>活动场地遮阳覆盖率</w:t>
      </w:r>
      <w:bookmarkEnd w:id="46"/>
      <w:bookmarkEnd w:id="47"/>
      <w:bookmarkStart w:id="67" w:name="_GoBack"/>
      <w:bookmarkEnd w:id="6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8" w:name="活动场地遮阳覆盖率"/>
      <w:bookmarkEnd w:id="48"/>
    </w:p>
    <w:p>
      <w:pPr>
        <w:pStyle w:val="3"/>
        <w:ind w:firstLine="420"/>
        <w:rPr>
          <w:lang w:val="en-US"/>
        </w:rPr>
      </w:pPr>
    </w:p>
    <w:p>
      <w:pPr>
        <w:pStyle w:val="2"/>
      </w:pPr>
      <w:bookmarkStart w:id="49" w:name="_Toc16494783"/>
      <w:bookmarkStart w:id="50" w:name="_Toc23421"/>
      <w:r>
        <w:rPr>
          <w:rFonts w:hint="eastAsia"/>
        </w:rPr>
        <w:t>评价性设计</w:t>
      </w:r>
      <w:bookmarkEnd w:id="49"/>
      <w:bookmarkEnd w:id="50"/>
    </w:p>
    <w:p>
      <w:pPr>
        <w:pStyle w:val="4"/>
      </w:pPr>
      <w:bookmarkStart w:id="51" w:name="_Toc16494784"/>
      <w:bookmarkStart w:id="52" w:name="_Toc25477"/>
      <w:r>
        <w:rPr>
          <w:rFonts w:hint="eastAsia"/>
        </w:rPr>
        <w:t>平均热岛强度</w:t>
      </w:r>
      <w:bookmarkEnd w:id="51"/>
      <w:bookmarkEnd w:id="5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31.3</w:t>
            </w:r>
          </w:p>
        </w:tc>
        <w:tc>
          <w:tcPr>
            <w:vAlign w:val="center"/>
          </w:tcPr>
          <w:p>
            <w:r>
              <w:t>1.3</w:t>
            </w:r>
          </w:p>
        </w:tc>
        <w:tc>
          <w:tcPr>
            <w:vAlign w:val="center"/>
          </w:tcPr>
          <w:p>
            <w:r>
              <w:t>2.0</w:t>
            </w:r>
          </w:p>
        </w:tc>
        <w:tc>
          <w:tcPr>
            <w:vAlign w:val="center"/>
          </w:tcPr>
          <w:p>
            <w:r>
              <w:t>0.8</w:t>
            </w:r>
          </w:p>
        </w:tc>
        <w:tc>
          <w:tcPr>
            <w:vAlign w:val="center"/>
          </w:tcPr>
          <w:p>
            <w:r>
              <w:t>29.8</w:t>
            </w:r>
          </w:p>
        </w:tc>
        <w:tc>
          <w:tcPr>
            <w:vAlign w:val="center"/>
          </w:tcPr>
          <w:p>
            <w:r>
              <w:t>31.3</w:t>
            </w:r>
          </w:p>
        </w:tc>
        <w:tc>
          <w:tcPr>
            <w:vAlign w:val="center"/>
          </w:tcPr>
          <w:p>
            <w:r>
              <w:t>-1.493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31.3</w:t>
            </w:r>
          </w:p>
        </w:tc>
        <w:tc>
          <w:tcPr>
            <w:vAlign w:val="center"/>
          </w:tcPr>
          <w:p>
            <w:r>
              <w:t>2.3</w:t>
            </w:r>
          </w:p>
        </w:tc>
        <w:tc>
          <w:tcPr>
            <w:vAlign w:val="center"/>
          </w:tcPr>
          <w:p>
            <w:r>
              <w:t>1.9</w:t>
            </w:r>
          </w:p>
        </w:tc>
        <w:tc>
          <w:tcPr>
            <w:vAlign w:val="center"/>
          </w:tcPr>
          <w:p>
            <w:r>
              <w:t>0.9</w:t>
            </w:r>
          </w:p>
        </w:tc>
        <w:tc>
          <w:tcPr>
            <w:vAlign w:val="center"/>
          </w:tcPr>
          <w:p>
            <w:r>
              <w:t>30.7</w:t>
            </w:r>
          </w:p>
        </w:tc>
        <w:tc>
          <w:tcPr>
            <w:vAlign w:val="center"/>
          </w:tcPr>
          <w:p>
            <w:r>
              <w:t>32.2</w:t>
            </w:r>
          </w:p>
        </w:tc>
        <w:tc>
          <w:tcPr>
            <w:vAlign w:val="center"/>
          </w:tcPr>
          <w:p>
            <w:r>
              <w:t>-1.462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31.3</w:t>
            </w:r>
          </w:p>
        </w:tc>
        <w:tc>
          <w:tcPr>
            <w:vAlign w:val="center"/>
          </w:tcPr>
          <w:p>
            <w:r>
              <w:t>3.3</w:t>
            </w:r>
          </w:p>
        </w:tc>
        <w:tc>
          <w:tcPr>
            <w:vAlign w:val="center"/>
          </w:tcPr>
          <w:p>
            <w:r>
              <w:t>1.8</w:t>
            </w:r>
          </w:p>
        </w:tc>
        <w:tc>
          <w:tcPr>
            <w:vAlign w:val="center"/>
          </w:tcPr>
          <w:p>
            <w:r>
              <w:t>1.0</w:t>
            </w:r>
          </w:p>
        </w:tc>
        <w:tc>
          <w:tcPr>
            <w:vAlign w:val="center"/>
          </w:tcPr>
          <w:p>
            <w:r>
              <w:t>31.8</w:t>
            </w:r>
          </w:p>
        </w:tc>
        <w:tc>
          <w:tcPr>
            <w:vAlign w:val="center"/>
          </w:tcPr>
          <w:p>
            <w:r>
              <w:t>33.1</w:t>
            </w:r>
          </w:p>
        </w:tc>
        <w:tc>
          <w:tcPr>
            <w:vAlign w:val="center"/>
          </w:tcPr>
          <w:p>
            <w:r>
              <w:t>-1.333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31.3</w:t>
            </w:r>
          </w:p>
        </w:tc>
        <w:tc>
          <w:tcPr>
            <w:vAlign w:val="center"/>
          </w:tcPr>
          <w:p>
            <w:r>
              <w:t>4.2</w:t>
            </w:r>
          </w:p>
        </w:tc>
        <w:tc>
          <w:tcPr>
            <w:vAlign w:val="center"/>
          </w:tcPr>
          <w:p>
            <w:r>
              <w:t>1.7</w:t>
            </w:r>
          </w:p>
        </w:tc>
        <w:tc>
          <w:tcPr>
            <w:vAlign w:val="center"/>
          </w:tcPr>
          <w:p>
            <w:r>
              <w:t>0.9</w:t>
            </w:r>
          </w:p>
        </w:tc>
        <w:tc>
          <w:tcPr>
            <w:vAlign w:val="center"/>
          </w:tcPr>
          <w:p>
            <w:r>
              <w:t>32.9</w:t>
            </w:r>
          </w:p>
        </w:tc>
        <w:tc>
          <w:tcPr>
            <w:vAlign w:val="center"/>
          </w:tcPr>
          <w:p>
            <w:r>
              <w:t>33.9</w:t>
            </w:r>
          </w:p>
        </w:tc>
        <w:tc>
          <w:tcPr>
            <w:vAlign w:val="center"/>
          </w:tcPr>
          <w:p>
            <w:r>
              <w:t>-0.991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31.3</w:t>
            </w:r>
          </w:p>
        </w:tc>
        <w:tc>
          <w:tcPr>
            <w:vAlign w:val="center"/>
          </w:tcPr>
          <w:p>
            <w:r>
              <w:t>5.1</w:t>
            </w:r>
          </w:p>
        </w:tc>
        <w:tc>
          <w:tcPr>
            <w:vAlign w:val="center"/>
          </w:tcPr>
          <w:p>
            <w:r>
              <w:t>1.7</w:t>
            </w:r>
          </w:p>
        </w:tc>
        <w:tc>
          <w:tcPr>
            <w:vAlign w:val="center"/>
          </w:tcPr>
          <w:p>
            <w:r>
              <w:t>0.8</w:t>
            </w:r>
          </w:p>
        </w:tc>
        <w:tc>
          <w:tcPr>
            <w:vAlign w:val="center"/>
          </w:tcPr>
          <w:p>
            <w:r>
              <w:t>33.9</w:t>
            </w:r>
          </w:p>
        </w:tc>
        <w:tc>
          <w:tcPr>
            <w:vAlign w:val="center"/>
          </w:tcPr>
          <w:p>
            <w:r>
              <w:t>34.5</w:t>
            </w:r>
          </w:p>
        </w:tc>
        <w:tc>
          <w:tcPr>
            <w:vAlign w:val="center"/>
          </w:tcPr>
          <w:p>
            <w:r>
              <w:t>-0.578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31.3</w:t>
            </w:r>
          </w:p>
        </w:tc>
        <w:tc>
          <w:tcPr>
            <w:vAlign w:val="center"/>
          </w:tcPr>
          <w:p>
            <w:r>
              <w:t>5.8</w:t>
            </w:r>
          </w:p>
        </w:tc>
        <w:tc>
          <w:tcPr>
            <w:vAlign w:val="center"/>
          </w:tcPr>
          <w:p>
            <w:r>
              <w:t>1.6</w:t>
            </w:r>
          </w:p>
        </w:tc>
        <w:tc>
          <w:tcPr>
            <w:vAlign w:val="center"/>
          </w:tcPr>
          <w:p>
            <w:r>
              <w:t>0.7</w:t>
            </w:r>
          </w:p>
        </w:tc>
        <w:tc>
          <w:tcPr>
            <w:vAlign w:val="center"/>
          </w:tcPr>
          <w:p>
            <w:r>
              <w:t>34.8</w:t>
            </w:r>
          </w:p>
        </w:tc>
        <w:tc>
          <w:tcPr>
            <w:vAlign w:val="center"/>
          </w:tcPr>
          <w:p>
            <w:r>
              <w:t>34.8</w:t>
            </w:r>
          </w:p>
        </w:tc>
        <w:tc>
          <w:tcPr>
            <w:vAlign w:val="center"/>
          </w:tcPr>
          <w:p>
            <w:r>
              <w:t>-0.012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31.3</w:t>
            </w:r>
          </w:p>
        </w:tc>
        <w:tc>
          <w:tcPr>
            <w:vAlign w:val="center"/>
          </w:tcPr>
          <w:p>
            <w:r>
              <w:t>6.2</w:t>
            </w:r>
          </w:p>
        </w:tc>
        <w:tc>
          <w:tcPr>
            <w:vAlign w:val="center"/>
          </w:tcPr>
          <w:p>
            <w:r>
              <w:t>1.6</w:t>
            </w:r>
          </w:p>
        </w:tc>
        <w:tc>
          <w:tcPr>
            <w:vAlign w:val="center"/>
          </w:tcPr>
          <w:p>
            <w:r>
              <w:t>0.6</w:t>
            </w:r>
          </w:p>
        </w:tc>
        <w:tc>
          <w:tcPr>
            <w:vAlign w:val="center"/>
          </w:tcPr>
          <w:p>
            <w:r>
              <w:t>35.3</w:t>
            </w:r>
          </w:p>
        </w:tc>
        <w:tc>
          <w:tcPr>
            <w:vAlign w:val="center"/>
          </w:tcPr>
          <w:p>
            <w:r>
              <w:t>34.7</w:t>
            </w:r>
          </w:p>
        </w:tc>
        <w:tc>
          <w:tcPr>
            <w:vAlign w:val="center"/>
          </w:tcPr>
          <w:p>
            <w:r>
              <w:t>0.621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31.3</w:t>
            </w:r>
          </w:p>
        </w:tc>
        <w:tc>
          <w:tcPr>
            <w:vAlign w:val="center"/>
          </w:tcPr>
          <w:p>
            <w:r>
              <w:t>6.4</w:t>
            </w:r>
          </w:p>
        </w:tc>
        <w:tc>
          <w:tcPr>
            <w:vAlign w:val="center"/>
          </w:tcPr>
          <w:p>
            <w:r>
              <w:t>1.7</w:t>
            </w:r>
          </w:p>
        </w:tc>
        <w:tc>
          <w:tcPr>
            <w:vAlign w:val="center"/>
          </w:tcPr>
          <w:p>
            <w:r>
              <w:t>0.5</w:t>
            </w:r>
          </w:p>
        </w:tc>
        <w:tc>
          <w:tcPr>
            <w:vAlign w:val="center"/>
          </w:tcPr>
          <w:p>
            <w:r>
              <w:t>35.5</w:t>
            </w:r>
          </w:p>
        </w:tc>
        <w:tc>
          <w:tcPr>
            <w:vAlign w:val="center"/>
          </w:tcPr>
          <w:p>
            <w:r>
              <w:t>34.2</w:t>
            </w:r>
          </w:p>
        </w:tc>
        <w:tc>
          <w:tcPr>
            <w:vAlign w:val="center"/>
          </w:tcPr>
          <w:p>
            <w:r>
              <w:t>1.341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31.3</w:t>
            </w:r>
          </w:p>
        </w:tc>
        <w:tc>
          <w:tcPr>
            <w:vAlign w:val="center"/>
          </w:tcPr>
          <w:p>
            <w:r>
              <w:t>6.4</w:t>
            </w:r>
          </w:p>
        </w:tc>
        <w:tc>
          <w:tcPr>
            <w:vAlign w:val="center"/>
          </w:tcPr>
          <w:p>
            <w:r>
              <w:t>1.8</w:t>
            </w:r>
          </w:p>
        </w:tc>
        <w:tc>
          <w:tcPr>
            <w:vAlign w:val="center"/>
          </w:tcPr>
          <w:p>
            <w:r>
              <w:t>0.4</w:t>
            </w:r>
          </w:p>
        </w:tc>
        <w:tc>
          <w:tcPr>
            <w:vAlign w:val="center"/>
          </w:tcPr>
          <w:p>
            <w:r>
              <w:t>35.6</w:t>
            </w:r>
          </w:p>
        </w:tc>
        <w:tc>
          <w:tcPr>
            <w:vAlign w:val="center"/>
          </w:tcPr>
          <w:p>
            <w:r>
              <w:t>33.6</w:t>
            </w:r>
          </w:p>
        </w:tc>
        <w:tc>
          <w:tcPr>
            <w:vAlign w:val="center"/>
          </w:tcPr>
          <w:p>
            <w:r>
              <w:t>1.986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31.3</w:t>
            </w:r>
          </w:p>
        </w:tc>
        <w:tc>
          <w:tcPr>
            <w:vAlign w:val="center"/>
          </w:tcPr>
          <w:p>
            <w:r>
              <w:t>6.2</w:t>
            </w:r>
          </w:p>
        </w:tc>
        <w:tc>
          <w:tcPr>
            <w:vAlign w:val="center"/>
          </w:tcPr>
          <w:p>
            <w:r>
              <w:t>1.9</w:t>
            </w:r>
          </w:p>
        </w:tc>
        <w:tc>
          <w:tcPr>
            <w:vAlign w:val="center"/>
          </w:tcPr>
          <w:p>
            <w:r>
              <w:t>0.3</w:t>
            </w:r>
          </w:p>
        </w:tc>
        <w:tc>
          <w:tcPr>
            <w:vAlign w:val="center"/>
          </w:tcPr>
          <w:p>
            <w:r>
              <w:t>35.3</w:t>
            </w:r>
          </w:p>
        </w:tc>
        <w:tc>
          <w:tcPr>
            <w:vAlign w:val="center"/>
          </w:tcPr>
          <w:p>
            <w:r>
              <w:t>32.7</w:t>
            </w:r>
          </w:p>
        </w:tc>
        <w:tc>
          <w:tcPr>
            <w:vAlign w:val="center"/>
          </w:tcPr>
          <w:p>
            <w:r>
              <w:t>2.617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31.3</w:t>
            </w:r>
          </w:p>
        </w:tc>
        <w:tc>
          <w:tcPr>
            <w:vAlign w:val="center"/>
          </w:tcPr>
          <w:p>
            <w:r>
              <w:t>5.8</w:t>
            </w:r>
          </w:p>
        </w:tc>
        <w:tc>
          <w:tcPr>
            <w:vAlign w:val="center"/>
          </w:tcPr>
          <w:p>
            <w:r>
              <w:t>2.0</w:t>
            </w:r>
          </w:p>
        </w:tc>
        <w:tc>
          <w:tcPr>
            <w:vAlign w:val="center"/>
          </w:tcPr>
          <w:p>
            <w:r>
              <w:t>0.2</w:t>
            </w:r>
          </w:p>
        </w:tc>
        <w:tc>
          <w:tcPr>
            <w:vAlign w:val="center"/>
          </w:tcPr>
          <w:p>
            <w:r>
              <w:t>34.9</w:t>
            </w:r>
          </w:p>
        </w:tc>
        <w:tc>
          <w:tcPr>
            <w:vAlign w:val="center"/>
          </w:tcPr>
          <w:p>
            <w:r>
              <w:t>31.9</w:t>
            </w:r>
          </w:p>
        </w:tc>
        <w:tc>
          <w:tcPr>
            <w:vAlign w:val="center"/>
          </w:tcPr>
          <w:p>
            <w:r>
              <w:t>2.984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53" w:name="平均热岛强度"/>
      <w:bookmarkEnd w:id="53"/>
    </w:p>
    <w:p>
      <w:pPr>
        <w:pStyle w:val="3"/>
        <w:ind w:firstLine="0" w:firstLineChars="0"/>
        <w:rPr>
          <w:lang w:val="en-US"/>
        </w:rPr>
      </w:pPr>
      <w:bookmarkStart w:id="54" w:name="平均热岛强度图片"/>
      <w:bookmarkEnd w:id="54"/>
    </w:p>
    <w:p>
      <w:pPr>
        <w:pStyle w:val="4"/>
      </w:pPr>
      <w:bookmarkStart w:id="55" w:name="_Toc16494785"/>
      <w:bookmarkStart w:id="56" w:name="_Toc9935"/>
      <w:r>
        <w:rPr>
          <w:rFonts w:hint="eastAsia"/>
        </w:rPr>
        <w:t>湿球黑球温度</w:t>
      </w:r>
      <w:bookmarkEnd w:id="55"/>
      <w:bookmarkEnd w:id="56"/>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29.8</w:t>
            </w:r>
          </w:p>
        </w:tc>
        <w:tc>
          <w:tcPr>
            <w:vAlign w:val="center"/>
          </w:tcPr>
          <w:p>
            <w:r>
              <w:t>0.7</w:t>
            </w:r>
          </w:p>
        </w:tc>
        <w:tc>
          <w:tcPr>
            <w:vAlign w:val="center"/>
          </w:tcPr>
          <w:p>
            <w:r>
              <w:t>117.6</w:t>
            </w:r>
          </w:p>
        </w:tc>
        <w:tc>
          <w:tcPr>
            <w:vAlign w:val="center"/>
          </w:tcPr>
          <w:p>
            <w:r>
              <w:t>30.9</w:t>
            </w:r>
          </w:p>
        </w:tc>
        <w:tc>
          <w:tcPr>
            <w:vAlign w:val="center"/>
          </w:tcPr>
          <w:p>
            <w:r>
              <w:t>26.1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30.7</w:t>
            </w:r>
          </w:p>
        </w:tc>
        <w:tc>
          <w:tcPr>
            <w:vAlign w:val="center"/>
          </w:tcPr>
          <w:p>
            <w:r>
              <w:t>0.7</w:t>
            </w:r>
          </w:p>
        </w:tc>
        <w:tc>
          <w:tcPr>
            <w:vAlign w:val="center"/>
          </w:tcPr>
          <w:p>
            <w:r>
              <w:t>173.1</w:t>
            </w:r>
          </w:p>
        </w:tc>
        <w:tc>
          <w:tcPr>
            <w:vAlign w:val="center"/>
          </w:tcPr>
          <w:p>
            <w:r>
              <w:t>45.4</w:t>
            </w:r>
          </w:p>
        </w:tc>
        <w:tc>
          <w:tcPr>
            <w:vAlign w:val="center"/>
          </w:tcPr>
          <w:p>
            <w:r>
              <w:t>26.9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31.8</w:t>
            </w:r>
          </w:p>
        </w:tc>
        <w:tc>
          <w:tcPr>
            <w:vAlign w:val="center"/>
          </w:tcPr>
          <w:p>
            <w:r>
              <w:t>0.6</w:t>
            </w:r>
          </w:p>
        </w:tc>
        <w:tc>
          <w:tcPr>
            <w:vAlign w:val="center"/>
          </w:tcPr>
          <w:p>
            <w:r>
              <w:t>203.3</w:t>
            </w:r>
          </w:p>
        </w:tc>
        <w:tc>
          <w:tcPr>
            <w:vAlign w:val="center"/>
          </w:tcPr>
          <w:p>
            <w:r>
              <w:t>53.3</w:t>
            </w:r>
          </w:p>
        </w:tc>
        <w:tc>
          <w:tcPr>
            <w:vAlign w:val="center"/>
          </w:tcPr>
          <w:p>
            <w:r>
              <w:t>27.5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32.9</w:t>
            </w:r>
          </w:p>
        </w:tc>
        <w:tc>
          <w:tcPr>
            <w:vAlign w:val="center"/>
          </w:tcPr>
          <w:p>
            <w:r>
              <w:t>0.6</w:t>
            </w:r>
          </w:p>
        </w:tc>
        <w:tc>
          <w:tcPr>
            <w:vAlign w:val="center"/>
          </w:tcPr>
          <w:p>
            <w:r>
              <w:t>217.3</w:t>
            </w:r>
          </w:p>
        </w:tc>
        <w:tc>
          <w:tcPr>
            <w:vAlign w:val="center"/>
          </w:tcPr>
          <w:p>
            <w:r>
              <w:t>57.0</w:t>
            </w:r>
          </w:p>
        </w:tc>
        <w:tc>
          <w:tcPr>
            <w:vAlign w:val="center"/>
          </w:tcPr>
          <w:p>
            <w:r>
              <w:t>28.5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33.9</w:t>
            </w:r>
          </w:p>
        </w:tc>
        <w:tc>
          <w:tcPr>
            <w:vAlign w:val="center"/>
          </w:tcPr>
          <w:p>
            <w:r>
              <w:t>0.6</w:t>
            </w:r>
          </w:p>
        </w:tc>
        <w:tc>
          <w:tcPr>
            <w:vAlign w:val="center"/>
          </w:tcPr>
          <w:p>
            <w:r>
              <w:t>218.6</w:t>
            </w:r>
          </w:p>
        </w:tc>
        <w:tc>
          <w:tcPr>
            <w:vAlign w:val="center"/>
          </w:tcPr>
          <w:p>
            <w:r>
              <w:t>57.3</w:t>
            </w:r>
          </w:p>
        </w:tc>
        <w:tc>
          <w:tcPr>
            <w:vAlign w:val="center"/>
          </w:tcPr>
          <w:p>
            <w:r>
              <w:t>29.1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34.8</w:t>
            </w:r>
          </w:p>
        </w:tc>
        <w:tc>
          <w:tcPr>
            <w:vAlign w:val="center"/>
          </w:tcPr>
          <w:p>
            <w:r>
              <w:t>0.5</w:t>
            </w:r>
          </w:p>
        </w:tc>
        <w:tc>
          <w:tcPr>
            <w:vAlign w:val="center"/>
          </w:tcPr>
          <w:p>
            <w:r>
              <w:t>201.8</w:t>
            </w:r>
          </w:p>
        </w:tc>
        <w:tc>
          <w:tcPr>
            <w:vAlign w:val="center"/>
          </w:tcPr>
          <w:p>
            <w:r>
              <w:t>52.9</w:t>
            </w:r>
          </w:p>
        </w:tc>
        <w:tc>
          <w:tcPr>
            <w:vAlign w:val="center"/>
          </w:tcPr>
          <w:p>
            <w:r>
              <w:t>29.7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35.3</w:t>
            </w:r>
          </w:p>
        </w:tc>
        <w:tc>
          <w:tcPr>
            <w:vAlign w:val="center"/>
          </w:tcPr>
          <w:p>
            <w:r>
              <w:t>0.5</w:t>
            </w:r>
          </w:p>
        </w:tc>
        <w:tc>
          <w:tcPr>
            <w:vAlign w:val="center"/>
          </w:tcPr>
          <w:p>
            <w:r>
              <w:t>169.9</w:t>
            </w:r>
          </w:p>
        </w:tc>
        <w:tc>
          <w:tcPr>
            <w:vAlign w:val="center"/>
          </w:tcPr>
          <w:p>
            <w:r>
              <w:t>44.6</w:t>
            </w:r>
          </w:p>
        </w:tc>
        <w:tc>
          <w:tcPr>
            <w:vAlign w:val="center"/>
          </w:tcPr>
          <w:p>
            <w:r>
              <w:t>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35.5</w:t>
            </w:r>
          </w:p>
        </w:tc>
        <w:tc>
          <w:tcPr>
            <w:vAlign w:val="center"/>
          </w:tcPr>
          <w:p>
            <w:r>
              <w:t>0.5</w:t>
            </w:r>
          </w:p>
        </w:tc>
        <w:tc>
          <w:tcPr>
            <w:vAlign w:val="center"/>
          </w:tcPr>
          <w:p>
            <w:r>
              <w:t>132.9</w:t>
            </w:r>
          </w:p>
        </w:tc>
        <w:tc>
          <w:tcPr>
            <w:vAlign w:val="center"/>
          </w:tcPr>
          <w:p>
            <w:r>
              <w:t>34.9</w:t>
            </w:r>
          </w:p>
        </w:tc>
        <w:tc>
          <w:tcPr>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35.6</w:t>
            </w:r>
          </w:p>
        </w:tc>
        <w:tc>
          <w:tcPr>
            <w:vAlign w:val="center"/>
          </w:tcPr>
          <w:p>
            <w:r>
              <w:t>0.5</w:t>
            </w:r>
          </w:p>
        </w:tc>
        <w:tc>
          <w:tcPr>
            <w:vAlign w:val="center"/>
          </w:tcPr>
          <w:p>
            <w:r>
              <w:t>94.2</w:t>
            </w:r>
          </w:p>
        </w:tc>
        <w:tc>
          <w:tcPr>
            <w:vAlign w:val="center"/>
          </w:tcPr>
          <w:p>
            <w:r>
              <w:t>24.7</w:t>
            </w:r>
          </w:p>
        </w:tc>
        <w:tc>
          <w:tcPr>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35.3</w:t>
            </w:r>
          </w:p>
        </w:tc>
        <w:tc>
          <w:tcPr>
            <w:vAlign w:val="center"/>
          </w:tcPr>
          <w:p>
            <w:r>
              <w:t>0.5</w:t>
            </w:r>
          </w:p>
        </w:tc>
        <w:tc>
          <w:tcPr>
            <w:vAlign w:val="center"/>
          </w:tcPr>
          <w:p>
            <w:r>
              <w:t>58.8</w:t>
            </w:r>
          </w:p>
        </w:tc>
        <w:tc>
          <w:tcPr>
            <w:vAlign w:val="center"/>
          </w:tcPr>
          <w:p>
            <w:r>
              <w:t>15.4</w:t>
            </w:r>
          </w:p>
        </w:tc>
        <w:tc>
          <w:tcPr>
            <w:vAlign w:val="center"/>
          </w:tcPr>
          <w:p>
            <w:r>
              <w:t>29.5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34.9</w:t>
            </w:r>
          </w:p>
        </w:tc>
        <w:tc>
          <w:tcPr>
            <w:vAlign w:val="center"/>
          </w:tcPr>
          <w:p>
            <w:r>
              <w:t>0.5</w:t>
            </w:r>
          </w:p>
        </w:tc>
        <w:tc>
          <w:tcPr>
            <w:vAlign w:val="center"/>
          </w:tcPr>
          <w:p>
            <w:r>
              <w:t>27.2</w:t>
            </w:r>
          </w:p>
        </w:tc>
        <w:tc>
          <w:tcPr>
            <w:vAlign w:val="center"/>
          </w:tcPr>
          <w:p>
            <w:r>
              <w:t>7.1</w:t>
            </w:r>
          </w:p>
        </w:tc>
        <w:tc>
          <w:tcPr>
            <w:vAlign w:val="center"/>
          </w:tcPr>
          <w:p>
            <w:r>
              <w:t>29.0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30.04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57" w:name="湿球黑球温度"/>
      <w:bookmarkEnd w:id="57"/>
    </w:p>
    <w:p>
      <w:pPr>
        <w:pStyle w:val="3"/>
        <w:ind w:firstLine="0" w:firstLineChars="0"/>
        <w:rPr>
          <w:lang w:val="en-US"/>
        </w:rPr>
      </w:pPr>
      <w:bookmarkStart w:id="58" w:name="湿球黑球温度图片"/>
      <w:bookmarkEnd w:id="58"/>
    </w:p>
    <w:p>
      <w:pPr>
        <w:pStyle w:val="2"/>
      </w:pPr>
      <w:bookmarkStart w:id="59" w:name="_Toc16494786"/>
      <w:bookmarkStart w:id="60" w:name="_Toc9150"/>
      <w:r>
        <w:rPr>
          <w:rFonts w:hint="eastAsia"/>
        </w:rPr>
        <w:t>结论</w:t>
      </w:r>
      <w:bookmarkEnd w:id="59"/>
      <w:bookmarkEnd w:id="6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1" w:name="结论"/>
            <w:bookmarkEnd w:id="61"/>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2" w:name="平均迎风面积比结论"/>
            <w:r>
              <w:rPr>
                <w:rFonts w:hint="eastAsia"/>
                <w:b/>
              </w:rPr>
              <w:t>满足</w:t>
            </w:r>
            <w:bookmarkEnd w:id="62"/>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3" w:name="活动场地遮阳覆盖率结论"/>
            <w:r>
              <w:rPr>
                <w:rFonts w:hint="eastAsia"/>
                <w:b/>
              </w:rPr>
              <w:t>满足</w:t>
            </w:r>
            <w:bookmarkEnd w:id="63"/>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4" w:name="平均热岛强度结论"/>
            <w:r>
              <w:t>满足</w:t>
            </w:r>
            <w:bookmarkEnd w:id="64"/>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5" w:name="湿球黑球温度结论"/>
            <w:r>
              <w:t>满足</w:t>
            </w:r>
            <w:bookmarkEnd w:id="65"/>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66" w:name="总结论"/>
            <w:r>
              <w:rPr>
                <w:rFonts w:hint="eastAsia"/>
                <w:b/>
              </w:rPr>
              <w:t>满足</w:t>
            </w:r>
            <w:bookmarkEnd w:id="66"/>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797215A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住区热环境(评价性设计)计算书.dotx</Template>
  <Company>ths</Company>
  <Pages>7</Pages>
  <Words>503</Words>
  <Characters>2872</Characters>
  <Lines>23</Lines>
  <Paragraphs>6</Paragraphs>
  <TotalTime>1</TotalTime>
  <ScaleCrop>false</ScaleCrop>
  <LinksUpToDate>false</LinksUpToDate>
  <CharactersWithSpaces>3369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2020-03-23T09:14:00Z</dcterms:created>
  <dc:creator>human</dc:creator>
  <cp:lastModifiedBy>Administrator</cp:lastModifiedBy>
  <cp:lastPrinted>2411-12-31T16:00:00Z</cp:lastPrinted>
  <dcterms:modified xsi:type="dcterms:W3CDTF">2021-11-16T02:52:23Z</dcterms:modified>
  <dc:title>住区热环境评价性设计计算书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