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4.1.10</w:t>
      </w:r>
      <w:r>
        <w:rPr>
          <w:rFonts w:hint="eastAsia" w:eastAsiaTheme="minorEastAsia"/>
          <w:sz w:val="24"/>
          <w:szCs w:val="40"/>
        </w:rPr>
        <w:t xml:space="preserve"> 地下工程防水设计应根据结构耐久性做好防水设计，并应满足《地下工程防水技术规范》GB 50108 的要求</w:t>
      </w:r>
      <w:r>
        <w:rPr>
          <w:rFonts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hint="eastAsia"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不达标；</w:t>
      </w:r>
      <w:sdt>
        <w:sdtPr>
          <w:rPr>
            <w:rFonts w:hint="eastAsia"/>
            <w:sz w:val="28"/>
          </w:rPr>
          <w:id w:val="-12181271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</w:t>
      </w:r>
      <w:r>
        <w:rPr>
          <w:rFonts w:hint="eastAsia" w:ascii="Times New Roman" w:hAnsi="Times New Roman" w:cs="Times New Roman"/>
          <w:szCs w:val="21"/>
        </w:rPr>
        <w:t>参评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宋体" w:eastAsia="宋体" w:cs="宋体"/>
          <w:kern w:val="0"/>
          <w:szCs w:val="21"/>
        </w:rPr>
        <w:t>地下工程防水设计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spacing w:beforeLines="0" w:afterLines="0"/>
              <w:ind w:left="210" w:leftChars="0" w:firstLineChars="0"/>
              <w:jc w:val="left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本工程防水等级为一级，根据工程埋置深度，防水混凝土的设计抗渗等级为P6级（埋深超过10米时为P8级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）。</w:t>
            </w:r>
            <w:r>
              <w:rPr>
                <w:rFonts w:hint="eastAsia" w:ascii="宋体" w:hAnsi="宋体" w:eastAsia="宋体"/>
                <w:sz w:val="21"/>
              </w:rPr>
              <w:t>种植地下室顶板防水等级为Ⅰ级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ind w:left="210" w:leftChars="0" w:firstLine="0" w:firstLineChars="0"/>
              <w:jc w:val="left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附加防水层位置和材料：附加防水层设在迎水面(即外防水)。防水材料和构造做法详见《室内外装修构造做法表》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</w:rPr>
              <w:t>《地下室室内外装修构造做法表》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ind w:left="210" w:leftChars="0" w:firstLine="0" w:firstLineChars="0"/>
              <w:jc w:val="left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防水设防高度应比室外地坪高出500mm，遇首层架空层水平延伸出500mm；附加防水层必须设保护层。所有穿地下室外墙的管道，必须预埋防水穿墙套管。所有防水节点、拐角处应有防水加强层。桩头、施工缝等特殊部位的防水做法详见建施图中相关的节点详图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ind w:left="210" w:leftChars="0" w:firstLine="0" w:firstLineChars="0"/>
              <w:jc w:val="left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地下室顶板排水坡度为0.2%～0.5%,顶板防水层应与侧壁闭合。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ind w:left="210" w:leftChars="0" w:firstLine="0" w:firstLineChars="0"/>
              <w:jc w:val="left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地下室汽车坡道均设有与坡道同宽的截水沟和耐轮压的金属盖板，地面出入口处均设有反坡。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）建筑竣工图与设计说明；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）结构竣工图与设计说明；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eastAsia="宋体" w:cs="宋体"/>
          <w:kern w:val="0"/>
          <w:szCs w:val="21"/>
        </w:rPr>
        <w:t>隐蔽工程验收记录。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建筑竣工图与设计说明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结构竣工图与设计说明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E93FB9"/>
    <w:multiLevelType w:val="singleLevel"/>
    <w:tmpl w:val="A7E93FB9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1">
    <w:nsid w:val="7ADBE149"/>
    <w:multiLevelType w:val="singleLevel"/>
    <w:tmpl w:val="7ADBE1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4A38"/>
    <w:rsid w:val="00396710"/>
    <w:rsid w:val="003D1B37"/>
    <w:rsid w:val="00415199"/>
    <w:rsid w:val="005363EF"/>
    <w:rsid w:val="006B53F0"/>
    <w:rsid w:val="008E5F69"/>
    <w:rsid w:val="00D7238C"/>
    <w:rsid w:val="00FA13B2"/>
    <w:rsid w:val="2C76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庞迎</cp:lastModifiedBy>
  <dcterms:modified xsi:type="dcterms:W3CDTF">2021-12-15T03:36:22Z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