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</w:t>
      </w:r>
      <w:r>
        <w:rPr>
          <w:rFonts w:hint="eastAsia" w:eastAsiaTheme="minorEastAsia"/>
          <w:sz w:val="24"/>
          <w:szCs w:val="40"/>
        </w:rPr>
        <w:t>、气密性能应符合国家和河北省现行有关标准的规定。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506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门窗型材的规格尺寸及玻璃的性能指标分别符合《建筑外门窗气密、水密、抗风压性能分级及检测方法》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GB/T7106-2008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）、《建筑外门窗保温性能分级及检测方法》（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GB/T8484-2008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）的要求。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抗风压性能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4级，P/3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kPa；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水密性：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3级，△P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≥250Pa；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气密性能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7级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；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建筑专业施工图及设计说明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9F4369"/>
    <w:rsid w:val="00A7138F"/>
    <w:rsid w:val="00B23D66"/>
    <w:rsid w:val="00EF584F"/>
    <w:rsid w:val="5CF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11</TotalTime>
  <ScaleCrop>false</ScaleCrop>
  <LinksUpToDate>false</LinksUpToDate>
  <CharactersWithSpaces>214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庞迎</cp:lastModifiedBy>
  <dcterms:modified xsi:type="dcterms:W3CDTF">2021-12-15T02:41:57Z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