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64"/>
        <w:gridCol w:w="1754"/>
        <w:gridCol w:w="115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达到5%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达到7%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达到9%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居住建筑</w:t>
      </w:r>
    </w:p>
    <w:p>
      <w:pPr>
        <w:spacing w:line="360" w:lineRule="auto"/>
      </w:pPr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64"/>
        <w:gridCol w:w="1412"/>
        <w:gridCol w:w="280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sdt>
        <w:sdtPr>
          <w:rPr>
            <w:rFonts w:hint="eastAsia"/>
            <w:sz w:val="28"/>
          </w:rPr>
          <w:id w:val="5971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705"/>
        <w:gridCol w:w="20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</w:rPr>
              <w:t>通风窗地面积比例计算书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44540"/>
    <w:multiLevelType w:val="singleLevel"/>
    <w:tmpl w:val="DD544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  <w:rsid w:val="47497784"/>
    <w:rsid w:val="568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C379EDA23CD4C9185F2EE311E78AC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40B6D67604848C5BC384E66547329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115234DE30F441C867B97915E5006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CB2140FAC424E5C950AA769F77310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Lines>7</Lines>
  <Paragraphs>1</Paragraphs>
  <TotalTime>14</TotalTime>
  <ScaleCrop>false</ScaleCrop>
  <LinksUpToDate>false</LinksUpToDate>
  <CharactersWithSpaces>999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庞迎</cp:lastModifiedBy>
  <dcterms:modified xsi:type="dcterms:W3CDTF">2021-12-15T07:15:56Z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