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5.2.6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采取措施优化主要功能房间的室内声环境。（8分）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473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1333"/>
        <w:gridCol w:w="3084"/>
        <w:gridCol w:w="1575"/>
        <w:gridCol w:w="13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3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序号</w:t>
            </w:r>
          </w:p>
        </w:tc>
        <w:tc>
          <w:tcPr>
            <w:tcW w:w="2737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评价内容</w:t>
            </w:r>
          </w:p>
        </w:tc>
        <w:tc>
          <w:tcPr>
            <w:tcW w:w="976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评价分值</w:t>
            </w:r>
          </w:p>
        </w:tc>
        <w:tc>
          <w:tcPr>
            <w:tcW w:w="844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3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</w:t>
            </w:r>
          </w:p>
        </w:tc>
        <w:tc>
          <w:tcPr>
            <w:tcW w:w="826" w:type="pct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室内噪声级</w:t>
            </w:r>
          </w:p>
        </w:tc>
        <w:tc>
          <w:tcPr>
            <w:tcW w:w="1911" w:type="pct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达到低限标准限值和高要求标准限值的平均值</w:t>
            </w:r>
            <w:r>
              <w:rPr>
                <w:rFonts w:hint="eastAsia" w:ascii="宋体" w:eastAsia="宋体" w:cs="宋体"/>
                <w:kern w:val="0"/>
                <w:szCs w:val="21"/>
              </w:rPr>
              <w:t>，且低于低限标准限值</w:t>
            </w:r>
            <w:r>
              <w:rPr>
                <w:rFonts w:ascii="TimesNewRomanPSMT" w:eastAsia="TimesNewRomanPSMT" w:cs="TimesNewRomanPSMT"/>
                <w:kern w:val="0"/>
                <w:szCs w:val="21"/>
              </w:rPr>
              <w:t>3dB</w:t>
            </w:r>
          </w:p>
        </w:tc>
        <w:tc>
          <w:tcPr>
            <w:tcW w:w="976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4</w:t>
            </w:r>
          </w:p>
        </w:tc>
        <w:sdt>
          <w:sdtPr>
            <w:rPr>
              <w:rFonts w:ascii="Times New Roman" w:hAnsi="Times New Roman" w:eastAsia="宋体" w:cs="Times New Roman"/>
              <w:szCs w:val="21"/>
            </w:rPr>
            <w:id w:val="1592189749"/>
            <w:placeholder>
              <w:docPart w:val="AE05FCA4D80A4824AEE71F5937814281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44" w:type="pct"/>
                <w:vMerge w:val="restart"/>
                <w:vAlign w:val="center"/>
              </w:tcPr>
              <w:p>
                <w:pPr>
                  <w:jc w:val="center"/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3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</w:t>
            </w:r>
          </w:p>
        </w:tc>
        <w:tc>
          <w:tcPr>
            <w:tcW w:w="826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911" w:type="pct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达到高要求标准限值</w:t>
            </w:r>
          </w:p>
        </w:tc>
        <w:tc>
          <w:tcPr>
            <w:tcW w:w="976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8</w:t>
            </w:r>
          </w:p>
        </w:tc>
        <w:tc>
          <w:tcPr>
            <w:tcW w:w="84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bookmarkStart w:id="0" w:name="_Toc9945397"/>
      <w:bookmarkStart w:id="1" w:name="_Toc9944690"/>
      <w:bookmarkStart w:id="2" w:name="_Toc9945114"/>
      <w:bookmarkStart w:id="3" w:name="_Toc9944970"/>
      <w:bookmarkStart w:id="4" w:name="_Toc9945256"/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请简要说明建筑室内、外主要噪声源类型，传播途径以及采取的降噪措施</w:t>
      </w:r>
      <w:bookmarkEnd w:id="0"/>
      <w:bookmarkEnd w:id="1"/>
      <w:bookmarkEnd w:id="2"/>
      <w:bookmarkEnd w:id="3"/>
      <w:bookmarkEnd w:id="4"/>
      <w:r>
        <w:rPr>
          <w:rFonts w:hint="eastAsia"/>
        </w:rPr>
        <w:t>：</w:t>
      </w:r>
      <w:bookmarkStart w:id="5" w:name="OLE_LINK231"/>
      <w:bookmarkStart w:id="6" w:name="OLE_LINK230"/>
      <w:bookmarkStart w:id="7" w:name="_Toc9945257"/>
      <w:bookmarkStart w:id="8" w:name="_Toc9945398"/>
      <w:bookmarkStart w:id="9" w:name="_Toc9945115"/>
      <w:bookmarkStart w:id="10" w:name="_Toc9944691"/>
      <w:bookmarkStart w:id="11" w:name="_Toc9944971"/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4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本项目主要噪声室内噪声来源：为室内空调设备、卫生器具、管道等，可通过给设备添加减震措施避免噪声传播。</w:t>
            </w:r>
          </w:p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 xml:space="preserve"> 室外噪声源主要为公路的交通噪声。室内噪声源主要为生活噪声。传播途径：空气传播、楼板共振。降噪措施：经过距离和绿化、围护结构衰减，达到规范要求。</w:t>
            </w:r>
          </w:p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围护结构降噪措施：内墙为200厚钢筋混凝土墙。楼板为100厚钢筋混凝土板、豆石混凝土、面层。室外噪声的降噪措施主要依靠外墙和外门窗的隔断。外墙采用200厚钢筋混凝土墙，外门窗为断桥铝框，玻璃采用5+12A+5 +12A+5，很好的阻断室外噪声的传播。车辆进出禁止鸣笛、减速慢行。为提高楼板撞击声隔声性能楼板增加挤塑聚苯板。</w:t>
            </w:r>
          </w:p>
        </w:tc>
      </w:tr>
    </w:tbl>
    <w:p>
      <w:r>
        <w:rPr>
          <w:rFonts w:hint="eastAsia"/>
        </w:rPr>
        <w:t>主要功能房间室内噪声值列表</w:t>
      </w:r>
      <w:bookmarkEnd w:id="5"/>
      <w:bookmarkEnd w:id="6"/>
      <w:r>
        <w:rPr>
          <w:rFonts w:hint="eastAsia"/>
        </w:rPr>
        <w:t>：</w:t>
      </w:r>
      <w:bookmarkEnd w:id="7"/>
      <w:bookmarkEnd w:id="8"/>
      <w:bookmarkEnd w:id="9"/>
      <w:bookmarkEnd w:id="10"/>
      <w:bookmarkEnd w:id="11"/>
    </w:p>
    <w:tbl>
      <w:tblPr>
        <w:tblStyle w:val="6"/>
        <w:tblW w:w="94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7"/>
        <w:gridCol w:w="2126"/>
        <w:gridCol w:w="2829"/>
        <w:gridCol w:w="2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主要功能房间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室内噪声值</w:t>
            </w:r>
            <w:r>
              <w:t>[dB(A)]</w:t>
            </w:r>
          </w:p>
        </w:tc>
        <w:tc>
          <w:tcPr>
            <w:tcW w:w="2829" w:type="dxa"/>
          </w:tcPr>
          <w:p>
            <w:pPr>
              <w:jc w:val="center"/>
            </w:pPr>
            <w:r>
              <w:rPr>
                <w:rFonts w:hint="eastAsia"/>
                <w:kern w:val="0"/>
              </w:rPr>
              <w:t>高、低限值平均值</w:t>
            </w:r>
            <w:r>
              <w:t>[dB(A)]</w:t>
            </w:r>
          </w:p>
        </w:tc>
        <w:tc>
          <w:tcPr>
            <w:tcW w:w="2548" w:type="dxa"/>
          </w:tcPr>
          <w:p>
            <w:pPr>
              <w:jc w:val="center"/>
            </w:pPr>
            <w:r>
              <w:rPr>
                <w:rFonts w:hint="eastAsia"/>
              </w:rPr>
              <w:t>高要求</w:t>
            </w:r>
            <w:r>
              <w:rPr>
                <w:rFonts w:hint="eastAsia"/>
                <w:kern w:val="0"/>
              </w:rPr>
              <w:t>标准限值</w:t>
            </w:r>
            <w:r>
              <w:t>[dB(A)]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cs="Times New Roman" w:asciiTheme="minorEastAsia" w:hAnsiTheme="minorEastAsia"/>
              <w:szCs w:val="21"/>
            </w:rPr>
            <w:id w:val="824700137"/>
            <w:placeholder>
              <w:docPart w:val="D04991A658034C3AB38331935A486B19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1897" w:type="dxa"/>
              </w:tcPr>
              <w:p>
                <w:pPr>
                  <w:jc w:val="center"/>
                  <w:rPr>
                    <w:rFonts w:asciiTheme="minorEastAsia" w:hAnsiTheme="minorEastAsia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1928538243"/>
            <w:placeholder>
              <w:docPart w:val="DA923C1760C84ED29EFF8DE3A83CACC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126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1815669525"/>
            <w:placeholder>
              <w:docPart w:val="B41DF30CA39F4DB1BCD53BAD19609DAB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829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7644979"/>
            <w:placeholder>
              <w:docPart w:val="86B0550C9EF9429A868907B3FA05CC8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548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cs="Times New Roman" w:asciiTheme="minorEastAsia" w:hAnsiTheme="minorEastAsia"/>
              <w:szCs w:val="21"/>
            </w:rPr>
            <w:id w:val="512654466"/>
            <w:placeholder>
              <w:docPart w:val="B561169A05F14A62B712B7F9A6E92E28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1897" w:type="dxa"/>
              </w:tcPr>
              <w:p>
                <w:pPr>
                  <w:jc w:val="center"/>
                  <w:rPr>
                    <w:rFonts w:asciiTheme="minorEastAsia" w:hAnsiTheme="minorEastAsia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1033930790"/>
            <w:placeholder>
              <w:docPart w:val="65C0A26683554899807A544AEEAA1E1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126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867985094"/>
            <w:placeholder>
              <w:docPart w:val="C43EDAC398C949E9993CCC467314B4D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829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1414934105"/>
            <w:placeholder>
              <w:docPart w:val="BE51A03BC9724E7D91320766922E249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548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cs="Times New Roman" w:asciiTheme="minorEastAsia" w:hAnsiTheme="minorEastAsia"/>
              <w:szCs w:val="21"/>
            </w:rPr>
            <w:id w:val="561992754"/>
            <w:placeholder>
              <w:docPart w:val="9F43BC7702B348ECA95C8636446B3444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1897" w:type="dxa"/>
              </w:tcPr>
              <w:p>
                <w:pPr>
                  <w:jc w:val="center"/>
                  <w:rPr>
                    <w:rFonts w:asciiTheme="minorEastAsia" w:hAnsiTheme="minorEastAsia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1398968635"/>
            <w:placeholder>
              <w:docPart w:val="3BC473EBD9764BB7AE35B422B497A86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126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466475494"/>
            <w:placeholder>
              <w:docPart w:val="D4167D299B1C4E539BB88D6FF4F84C8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829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1528331739"/>
            <w:placeholder>
              <w:docPart w:val="3D855E21BFC6400797F4B9DEAB85ACB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548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cs="Times New Roman" w:asciiTheme="minorEastAsia" w:hAnsiTheme="minorEastAsia"/>
              <w:szCs w:val="21"/>
            </w:rPr>
            <w:id w:val="-1316956988"/>
            <w:placeholder>
              <w:docPart w:val="318A5CE18AE245E5AD74072DCE614522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1897" w:type="dxa"/>
              </w:tcPr>
              <w:p>
                <w:pPr>
                  <w:jc w:val="center"/>
                  <w:rPr>
                    <w:rFonts w:asciiTheme="minorEastAsia" w:hAnsiTheme="minorEastAsia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1514369930"/>
            <w:placeholder>
              <w:docPart w:val="B421420D5AB542BF8676ADFBD550479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126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1033187580"/>
            <w:placeholder>
              <w:docPart w:val="51EA48E6B772483C9A3387C705B4588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829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1480036304"/>
            <w:placeholder>
              <w:docPart w:val="9E4A35BF5E1D4E90A913F2BB3E30147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548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cs="Times New Roman" w:asciiTheme="minorEastAsia" w:hAnsiTheme="minorEastAsia"/>
              <w:szCs w:val="21"/>
            </w:rPr>
            <w:id w:val="281852833"/>
            <w:placeholder>
              <w:docPart w:val="1676CC9B4E574CEC86E0380F374C42CF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1897" w:type="dxa"/>
              </w:tcPr>
              <w:p>
                <w:pPr>
                  <w:jc w:val="center"/>
                  <w:rPr>
                    <w:rFonts w:asciiTheme="minorEastAsia" w:hAnsiTheme="minorEastAsia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603698112"/>
            <w:placeholder>
              <w:docPart w:val="B0F0A37DE32E414F9D53DF46CD61EDF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126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1509441014"/>
            <w:placeholder>
              <w:docPart w:val="0E79A47422F44E73A55141F5628FD6F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829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222135577"/>
            <w:placeholder>
              <w:docPart w:val="50CC8EADE08D4ABAA74F13298FE3B68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548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cs="Times New Roman" w:asciiTheme="minorEastAsia" w:hAnsiTheme="minorEastAsia"/>
              <w:szCs w:val="21"/>
            </w:rPr>
            <w:id w:val="-1620066196"/>
            <w:placeholder>
              <w:docPart w:val="21632FAD4898407FBAB3D76A8629C94A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1897" w:type="dxa"/>
              </w:tcPr>
              <w:p>
                <w:pPr>
                  <w:jc w:val="center"/>
                  <w:rPr>
                    <w:rFonts w:asciiTheme="minorEastAsia" w:hAnsiTheme="minorEastAsia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208884523"/>
            <w:placeholder>
              <w:docPart w:val="15B98F4EDAE646188F44103C7D75FEB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126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880557186"/>
            <w:placeholder>
              <w:docPart w:val="2BE7754860194B40AB9D0B31FA9288E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829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185760553"/>
            <w:placeholder>
              <w:docPart w:val="5B588A3CB1BA454ABAB0E06AC94AD45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548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spacing w:line="30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spacing w:line="30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建筑竣工图</w:t>
      </w:r>
      <w:r>
        <w:rPr>
          <w:rFonts w:hint="eastAsia" w:ascii="Times New Roman" w:hAnsi="Times New Roman" w:eastAsia="宋体" w:cs="Times New Roman"/>
          <w:szCs w:val="21"/>
        </w:rPr>
        <w:t>、建筑围护结构的构造说明、施工大样；</w:t>
      </w:r>
    </w:p>
    <w:p>
      <w:pPr>
        <w:spacing w:line="30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构件隔声性能</w:t>
      </w:r>
      <w:r>
        <w:rPr>
          <w:rFonts w:hint="eastAsia" w:ascii="Times New Roman" w:hAnsi="Times New Roman" w:eastAsia="宋体" w:cs="Times New Roman"/>
          <w:szCs w:val="21"/>
        </w:rPr>
        <w:t>检测</w:t>
      </w:r>
      <w:r>
        <w:rPr>
          <w:rFonts w:ascii="Times New Roman" w:hAnsi="Times New Roman" w:eastAsia="宋体" w:cs="Times New Roman"/>
          <w:szCs w:val="21"/>
        </w:rPr>
        <w:t>报告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spacing w:line="300" w:lineRule="exact"/>
      </w:pPr>
      <w:r>
        <w:rPr>
          <w:rFonts w:ascii="Times New Roman" w:hAnsi="Times New Roman" w:eastAsia="宋体" w:cs="Times New Roman"/>
          <w:szCs w:val="21"/>
        </w:rPr>
        <w:t>3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噪声分析报告</w:t>
      </w:r>
      <w:r>
        <w:rPr>
          <w:rFonts w:hint="eastAsia" w:ascii="Times New Roman" w:hAnsi="Times New Roman" w:eastAsia="宋体" w:cs="Times New Roman"/>
          <w:szCs w:val="21"/>
        </w:rPr>
        <w:t>，</w:t>
      </w:r>
      <w:r>
        <w:rPr>
          <w:rFonts w:hint="eastAsia"/>
        </w:rPr>
        <w:t>（室外噪声源类型、场地环境噪声测试结果以及防护降噪措施等）；</w:t>
      </w:r>
    </w:p>
    <w:p>
      <w:pPr>
        <w:spacing w:line="300" w:lineRule="exact"/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4）</w:t>
      </w:r>
      <w:r>
        <w:rPr>
          <w:rFonts w:ascii="Times New Roman" w:hAnsi="Times New Roman" w:eastAsia="宋体" w:cs="Times New Roman"/>
          <w:szCs w:val="21"/>
        </w:rPr>
        <w:t>室内噪声级检测报告</w:t>
      </w:r>
      <w:r>
        <w:rPr>
          <w:rFonts w:hint="eastAsia" w:ascii="Times New Roman" w:hAnsi="Times New Roman" w:eastAsia="宋体" w:cs="Times New Roman"/>
          <w:szCs w:val="21"/>
        </w:rPr>
        <w:t>（典型时间、主要功能房间）。</w:t>
      </w:r>
    </w:p>
    <w:p>
      <w:pPr>
        <w:spacing w:line="300" w:lineRule="exact"/>
        <w:rPr>
          <w:rFonts w:ascii="Times New Roman" w:hAnsi="Times New Roman" w:eastAsia="宋体" w:cs="Times New Roman"/>
          <w:szCs w:val="21"/>
        </w:rPr>
      </w:pPr>
    </w:p>
    <w:p>
      <w:pPr>
        <w:widowControl/>
        <w:spacing w:line="300" w:lineRule="exact"/>
        <w:jc w:val="lef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9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imesNewRomanPSMT">
    <w:altName w:val="MS Mincho"/>
    <w:panose1 w:val="00000000000000000000"/>
    <w:charset w:val="80"/>
    <w:family w:val="auto"/>
    <w:pitch w:val="default"/>
    <w:sig w:usb0="00000000" w:usb1="00000000" w:usb2="00000010" w:usb3="00000000" w:csb0="00020000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B50"/>
    <w:rsid w:val="00074A38"/>
    <w:rsid w:val="002213D4"/>
    <w:rsid w:val="004C6389"/>
    <w:rsid w:val="005E4131"/>
    <w:rsid w:val="00917000"/>
    <w:rsid w:val="00953975"/>
    <w:rsid w:val="009B6517"/>
    <w:rsid w:val="00A2554A"/>
    <w:rsid w:val="00A4407B"/>
    <w:rsid w:val="00A65FE5"/>
    <w:rsid w:val="00B12BB6"/>
    <w:rsid w:val="00FA7B50"/>
    <w:rsid w:val="186D22AB"/>
    <w:rsid w:val="4BF40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uiPriority w:val="99"/>
    <w:rPr>
      <w:sz w:val="18"/>
      <w:szCs w:val="18"/>
    </w:rPr>
  </w:style>
  <w:style w:type="character" w:customStyle="1" w:styleId="11">
    <w:name w:val="标题 4 字符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字符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AE05FCA4D80A4824AEE71F593781428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A312CBF-00F4-4D21-BEE4-B56E1FF8E8F7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04991A658034C3AB38331935A486B1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6668B82-4A0B-4834-AFE1-F59B75BD669D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A923C1760C84ED29EFF8DE3A83CACC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9A55FCE-C519-4BF3-A69A-E61F3411B926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41DF30CA39F4DB1BCD53BAD19609DA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65C741E-972A-44DD-A04E-603410F7E878}"/>
      </w:docPartPr>
      <w:docPartBody>
        <w:p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6B0550C9EF9429A868907B3FA05CC8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7DBED63-A359-4D60-ABCC-48D40AE16972}"/>
      </w:docPartPr>
      <w:docPartBody>
        <w:p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561169A05F14A62B712B7F9A6E92E2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25D8735-931C-4D5A-BDBE-C04B71A55110}"/>
      </w:docPartPr>
      <w:docPartBody>
        <w:p>
          <w:pPr>
            <w:pStyle w:val="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5C0A26683554899807A544AEEAA1E1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7CCBFCD-0EDD-4D0D-9DD8-ABB6C0777FE0}"/>
      </w:docPartPr>
      <w:docPartBody>
        <w:p>
          <w:pPr>
            <w:pStyle w:val="1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43EDAC398C949E9993CCC467314B4D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3CBA617-A141-4F04-B945-7E0BEC20AD55}"/>
      </w:docPartPr>
      <w:docPartBody>
        <w:p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E51A03BC9724E7D91320766922E249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A0E62E6-6FD9-4D3E-9144-93D57E014635}"/>
      </w:docPartPr>
      <w:docPartBody>
        <w:p>
          <w:pPr>
            <w:pStyle w:val="1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F43BC7702B348ECA95C8636446B344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668E55A-D01C-44F8-AA73-554B05265490}"/>
      </w:docPartPr>
      <w:docPartBody>
        <w:p>
          <w:pPr>
            <w:pStyle w:val="1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BC473EBD9764BB7AE35B422B497A86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FEC1C79-E176-491B-B45F-CC99480B1191}"/>
      </w:docPartPr>
      <w:docPartBody>
        <w:p>
          <w:pPr>
            <w:pStyle w:val="1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4167D299B1C4E539BB88D6FF4F84C8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56EDAA5-509B-4FD6-AEB5-61F7A9107151}"/>
      </w:docPartPr>
      <w:docPartBody>
        <w:p>
          <w:pPr>
            <w:pStyle w:val="1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D855E21BFC6400797F4B9DEAB85ACB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3B7170D-A622-44EB-987B-22E942645D9C}"/>
      </w:docPartPr>
      <w:docPartBody>
        <w:p>
          <w:pPr>
            <w:pStyle w:val="1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18A5CE18AE245E5AD74072DCE61452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29F6242-5D16-4EDE-9D83-716A506F6CF3}"/>
      </w:docPartPr>
      <w:docPartBody>
        <w:p>
          <w:pPr>
            <w:pStyle w:val="1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421420D5AB542BF8676ADFBD550479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58DEE91-6086-4859-89A3-85AB50AE0906}"/>
      </w:docPartPr>
      <w:docPartBody>
        <w:p>
          <w:pPr>
            <w:pStyle w:val="2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1EA48E6B772483C9A3387C705B4588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2657255-1300-412C-9A5C-013B12D2F2B3}"/>
      </w:docPartPr>
      <w:docPartBody>
        <w:p>
          <w:pPr>
            <w:pStyle w:val="2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E4A35BF5E1D4E90A913F2BB3E30147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F135680-C8CA-4BF3-91F8-B9A07E2796EE}"/>
      </w:docPartPr>
      <w:docPartBody>
        <w:p>
          <w:pPr>
            <w:pStyle w:val="2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676CC9B4E574CEC86E0380F374C42C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99BAF01-18AE-4A26-B00E-1002EA1E2D09}"/>
      </w:docPartPr>
      <w:docPartBody>
        <w:p>
          <w:pPr>
            <w:pStyle w:val="2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0F0A37DE32E414F9D53DF46CD61EDF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E5F3CFF-4596-4E6A-9C7A-C2893B0E5D35}"/>
      </w:docPartPr>
      <w:docPartBody>
        <w:p>
          <w:pPr>
            <w:pStyle w:val="2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E79A47422F44E73A55141F5628FD6F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8D08BE4-7439-4075-93A2-C1A6E3C77450}"/>
      </w:docPartPr>
      <w:docPartBody>
        <w:p>
          <w:pPr>
            <w:pStyle w:val="2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0CC8EADE08D4ABAA74F13298FE3B68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99DBF5A-D035-4BB9-9D86-ABEFBC39694D}"/>
      </w:docPartPr>
      <w:docPartBody>
        <w:p>
          <w:pPr>
            <w:pStyle w:val="2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1632FAD4898407FBAB3D76A8629C94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4DFCF6B-5340-42F6-A481-4776007FC037}"/>
      </w:docPartPr>
      <w:docPartBody>
        <w:p>
          <w:pPr>
            <w:pStyle w:val="2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5B98F4EDAE646188F44103C7D75FEB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C7A78E6-C8B9-456C-B144-2D5EA5FA1F08}"/>
      </w:docPartPr>
      <w:docPartBody>
        <w:p>
          <w:pPr>
            <w:pStyle w:val="2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BE7754860194B40AB9D0B31FA9288E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642373D-4894-447C-A176-C57BAB0E2686}"/>
      </w:docPartPr>
      <w:docPartBody>
        <w:p>
          <w:pPr>
            <w:pStyle w:val="2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B588A3CB1BA454ABAB0E06AC94AD45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390481E-9550-4E5A-A19F-E3BEF968DB96}"/>
      </w:docPartPr>
      <w:docPartBody>
        <w:p>
          <w:pPr>
            <w:pStyle w:val="3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80E"/>
    <w:rsid w:val="002136AF"/>
    <w:rsid w:val="003C44AE"/>
    <w:rsid w:val="005F5F94"/>
    <w:rsid w:val="00645102"/>
    <w:rsid w:val="00A6580E"/>
    <w:rsid w:val="00B652E5"/>
    <w:rsid w:val="00F0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AE05FCA4D80A4824AEE71F593781428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1A91CFBD7F2F4C7D91DBA770B699503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D04991A658034C3AB38331935A486B1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DA923C1760C84ED29EFF8DE3A83CACC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B41DF30CA39F4DB1BCD53BAD19609DA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86B0550C9EF9429A868907B3FA05CC8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B561169A05F14A62B712B7F9A6E92E2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65C0A26683554899807A544AEEAA1E1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C43EDAC398C949E9993CCC467314B4D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BE51A03BC9724E7D91320766922E249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9F43BC7702B348ECA95C8636446B344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3BC473EBD9764BB7AE35B422B497A86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D4167D299B1C4E539BB88D6FF4F84C8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3D855E21BFC6400797F4B9DEAB85ACB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318A5CE18AE245E5AD74072DCE61452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B421420D5AB542BF8676ADFBD550479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51EA48E6B772483C9A3387C705B4588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9E4A35BF5E1D4E90A913F2BB3E30147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1676CC9B4E574CEC86E0380F374C42C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B0F0A37DE32E414F9D53DF46CD61EDF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0E79A47422F44E73A55141F5628FD6F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50CC8EADE08D4ABAA74F13298FE3B68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">
    <w:name w:val="21632FAD4898407FBAB3D76A8629C94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">
    <w:name w:val="15B98F4EDAE646188F44103C7D75FEB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9">
    <w:name w:val="2BE7754860194B40AB9D0B31FA9288E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0">
    <w:name w:val="5B588A3CB1BA454ABAB0E06AC94AD45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1">
    <w:name w:val="6F76548FF0B34631942AE1648343A2E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2">
    <w:name w:val="1C114C5274BF44DE972970BCC1B2F8E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3">
    <w:name w:val="FAA2C4B25BA94900AA66A5FFBDFC7C9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4">
    <w:name w:val="A7A06D6F41CE428DBDFC02C6C893091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5">
    <w:name w:val="0B52269DC4894AA9901F74E7A390DAA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6">
    <w:name w:val="1A248C99168C4EF0AEF674A8D616601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7">
    <w:name w:val="24489EB23769440ABC651135BC369EA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8">
    <w:name w:val="EC1D2A636CB84D45A265D243E09A3DF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9">
    <w:name w:val="5D958D27A7BD44B9AF6442BD4FF9C8D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116</Words>
  <Characters>662</Characters>
  <Lines>5</Lines>
  <Paragraphs>1</Paragraphs>
  <TotalTime>6</TotalTime>
  <ScaleCrop>false</ScaleCrop>
  <LinksUpToDate>false</LinksUpToDate>
  <CharactersWithSpaces>777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2019-07-12T07:52:00Z</dcterms:created>
  <dc:creator>dongYP</dc:creator>
  <cp:lastModifiedBy>庞迎</cp:lastModifiedBy>
  <dcterms:modified xsi:type="dcterms:W3CDTF">2021-12-23T01:45:27Z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