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4.1.10</w:t>
      </w:r>
      <w:r>
        <w:rPr>
          <w:rFonts w:hint="eastAsia" w:eastAsiaTheme="minorEastAsia"/>
          <w:sz w:val="24"/>
          <w:szCs w:val="40"/>
        </w:rPr>
        <w:t xml:space="preserve"> 地下工程防水设计应根据结构耐久性做好防水设计，并应满足《地下工程防水技术规范》GB 50108 的要求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hint="eastAsia"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不达标；</w:t>
      </w:r>
      <w:sdt>
        <w:sdtPr>
          <w:rPr>
            <w:rFonts w:hint="eastAsia"/>
            <w:sz w:val="28"/>
          </w:rPr>
          <w:id w:val="-12181271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</w:t>
      </w:r>
      <w:r>
        <w:rPr>
          <w:rFonts w:hint="eastAsia" w:ascii="Times New Roman" w:hAnsi="Times New Roman" w:cs="Times New Roman"/>
          <w:szCs w:val="21"/>
        </w:rPr>
        <w:t>参评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宋体" w:eastAsia="宋体" w:cs="宋体"/>
          <w:kern w:val="0"/>
          <w:szCs w:val="21"/>
        </w:rPr>
        <w:t>地下工程防水设计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防水等级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变配电室、电井、电梯基坑、上部为种植区的地下室顶板为一级,其它部分为二级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防水材料：采用4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厚SBS改性沥青耐根穿刺防水卷材&lt;Ⅱ型&gt;+4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厚SBS高聚物改性沥青防水卷材（Ⅱ型）  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本项目地下室采用P6防水混凝土。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）建筑竣工图与设计说明；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）结构竣工图与设计说明；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eastAsia="宋体" w:cs="宋体"/>
          <w:kern w:val="0"/>
          <w:szCs w:val="21"/>
        </w:rPr>
        <w:t>隐蔽工程验收记录。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1）建筑施工图与设计说明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</w:rPr>
              <w:t>2）结构施工图与设计说明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0A68E"/>
    <w:multiLevelType w:val="singleLevel"/>
    <w:tmpl w:val="B5C0A6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96710"/>
    <w:rsid w:val="003D1B37"/>
    <w:rsid w:val="00415199"/>
    <w:rsid w:val="005363EF"/>
    <w:rsid w:val="006B53F0"/>
    <w:rsid w:val="008E5F69"/>
    <w:rsid w:val="00D7238C"/>
    <w:rsid w:val="00FA13B2"/>
    <w:rsid w:val="1990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  <w:rPr>
      <w:rFonts w:hint="eastAsia" w:ascii="Times New Roman" w:hAnsi="Times New Roman"/>
      <w:sz w:val="21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字符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LENOVO</cp:lastModifiedBy>
  <dcterms:modified xsi:type="dcterms:W3CDTF">2021-12-20T03:42:20Z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163844D4114149ED9ACA70875A570675</vt:lpwstr>
  </property>
</Properties>
</file>