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color w:val="auto"/>
            <w:szCs w:val="21"/>
            <w:u w:val="single"/>
            <w:vertAlign w:val="superscript"/>
          </w:rPr>
        </w:sdtEndPr>
        <w:sdtContent>
          <w:r>
            <w:rPr>
              <w:rFonts w:hint="eastAsia" w:ascii="Times New Roman" w:hAnsi="Times New Roman" w:cs="Times New Roman"/>
              <w:color w:val="auto"/>
              <w:szCs w:val="21"/>
              <w:u w:val="single"/>
            </w:rPr>
            <w:t xml:space="preserve"> </w:t>
          </w:r>
          <w:r>
            <w:rPr>
              <w:rFonts w:hint="eastAsia" w:ascii="宋体" w:hAnsi="宋体"/>
              <w:color w:val="auto"/>
              <w:u w:val="single"/>
              <w:lang w:val="en-US" w:eastAsia="zh-CN"/>
            </w:rPr>
            <w:t>14500m</w:t>
          </w:r>
          <w:r>
            <w:rPr>
              <w:rFonts w:hint="eastAsia" w:ascii="宋体" w:hAnsi="宋体"/>
              <w:color w:val="auto"/>
              <w:u w:val="single"/>
              <w:vertAlign w:val="superscript"/>
              <w:lang w:val="en-US" w:eastAsia="zh-CN"/>
            </w:rPr>
            <w:t>2</w:t>
          </w:r>
          <w:r>
            <w:rPr>
              <w:rFonts w:hint="eastAsia" w:ascii="Times New Roman" w:hAnsi="Times New Roman" w:cs="Times New Roman"/>
              <w:color w:val="auto"/>
              <w:szCs w:val="21"/>
              <w:u w:val="single"/>
              <w:vertAlign w:val="superscript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color w:val="auto"/>
              <w:szCs w:val="21"/>
              <w:u w:val="single"/>
            </w:rPr>
            <w:t xml:space="preserve"> </w:t>
          </w:r>
          <w:r>
            <w:rPr>
              <w:rFonts w:hint="eastAsia" w:ascii="宋体" w:hAnsi="宋体"/>
              <w:color w:val="auto"/>
              <w:u w:val="single"/>
              <w:lang w:val="en-US" w:eastAsia="zh-CN"/>
            </w:rPr>
            <w:t>14500m</w:t>
          </w:r>
          <w:r>
            <w:rPr>
              <w:rFonts w:hint="eastAsia" w:ascii="宋体" w:hAnsi="宋体"/>
              <w:color w:val="auto"/>
              <w:u w:val="single"/>
              <w:vertAlign w:val="superscript"/>
              <w:lang w:val="en-US" w:eastAsia="zh-CN"/>
            </w:rPr>
            <w:t>2</w:t>
          </w:r>
          <w:r>
            <w:rPr>
              <w:rFonts w:hint="eastAsia" w:ascii="Times New Roman" w:hAnsi="Times New Roman" w:cs="Times New Roman"/>
              <w:color w:val="auto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100%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分集水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器均设自动恒温控制阀，能够分室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或分区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控制和调节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eastAsia="zh-CN"/>
              </w:rPr>
              <w:t>。夏季主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要功能房间均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采用分体空调系统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末端可独立控制调节。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/>
                <w:color w:val="auto"/>
                <w:kern w:val="0"/>
                <w:sz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</w:rPr>
              <w:t>暖通专业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lang w:eastAsia="zh-CN"/>
              </w:rPr>
              <w:t>施工图及</w:t>
            </w:r>
            <w:r>
              <w:rPr>
                <w:rFonts w:ascii="Times New Roman" w:hAnsi="Times New Roman"/>
                <w:color w:val="auto"/>
                <w:kern w:val="0"/>
                <w:sz w:val="20"/>
              </w:rPr>
              <w:t>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46F22"/>
    <w:rsid w:val="00180777"/>
    <w:rsid w:val="003859E9"/>
    <w:rsid w:val="003E029F"/>
    <w:rsid w:val="004122BE"/>
    <w:rsid w:val="006B1E00"/>
    <w:rsid w:val="008D28B2"/>
    <w:rsid w:val="00CB1E46"/>
    <w:rsid w:val="00E532F6"/>
    <w:rsid w:val="552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D3008C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lenovo</cp:lastModifiedBy>
  <dcterms:modified xsi:type="dcterms:W3CDTF">2022-01-04T02:07:37Z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C5FBF95DF76B4C979BCE34F61ED798DA</vt:lpwstr>
  </property>
</Properties>
</file>