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8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332"/>
        <w:gridCol w:w="1335"/>
        <w:gridCol w:w="3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1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20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pct"/>
            <w:vMerge w:val="restart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default" w:eastAsia="宋体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房间RM01015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4"/>
              </w:rPr>
              <w:t>餐厅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)</w:t>
            </w:r>
          </w:p>
        </w:tc>
        <w:tc>
          <w:tcPr>
            <w:tcW w:w="805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昼间</w:t>
            </w:r>
          </w:p>
        </w:tc>
        <w:tc>
          <w:tcPr>
            <w:tcW w:w="807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55.0</w:t>
            </w:r>
          </w:p>
        </w:tc>
        <w:tc>
          <w:tcPr>
            <w:tcW w:w="2068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pct"/>
            <w:vMerge w:val="continue"/>
            <w:tcBorders/>
            <w:vAlign w:val="center"/>
          </w:tcPr>
          <w:p>
            <w:pPr>
              <w:spacing w:before="25" w:beforeLines="0" w:after="25" w:afterLines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5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夜间</w:t>
            </w:r>
          </w:p>
        </w:tc>
        <w:tc>
          <w:tcPr>
            <w:tcW w:w="807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45.1</w:t>
            </w:r>
          </w:p>
        </w:tc>
        <w:tc>
          <w:tcPr>
            <w:tcW w:w="2068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pct"/>
            <w:vMerge w:val="restar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房间RM02023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4"/>
              </w:rPr>
              <w:t>餐厅</w:t>
            </w:r>
            <w:r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  <w:t>)</w:t>
            </w:r>
          </w:p>
        </w:tc>
        <w:tc>
          <w:tcPr>
            <w:tcW w:w="805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昼间</w:t>
            </w:r>
          </w:p>
        </w:tc>
        <w:tc>
          <w:tcPr>
            <w:tcW w:w="807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36.7</w:t>
            </w:r>
          </w:p>
        </w:tc>
        <w:tc>
          <w:tcPr>
            <w:tcW w:w="2068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9" w:type="pct"/>
            <w:vMerge w:val="continue"/>
            <w:tcBorders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5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夜间</w:t>
            </w:r>
          </w:p>
        </w:tc>
        <w:tc>
          <w:tcPr>
            <w:tcW w:w="807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30.6</w:t>
            </w:r>
          </w:p>
        </w:tc>
        <w:tc>
          <w:tcPr>
            <w:tcW w:w="2068" w:type="pct"/>
            <w:vAlign w:val="center"/>
          </w:tcPr>
          <w:p>
            <w:pPr>
              <w:spacing w:before="25" w:beforeLines="0" w:after="25" w:afterLine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≤55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40"/>
        <w:gridCol w:w="1410"/>
        <w:gridCol w:w="215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空气声隔声性能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主要功能房间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构件类型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隔声值</w:t>
            </w:r>
            <w:r>
              <w:rPr>
                <w:rFonts w:hint="default" w:ascii="Times New Roman" w:hAnsi="Times New Roman"/>
              </w:rPr>
              <w:t>[dB(A)]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低限标准限值</w:t>
            </w:r>
            <w:r>
              <w:rPr>
                <w:rFonts w:hint="default" w:ascii="Times New Roman" w:hAnsi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6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</w:p>
        </w:tc>
        <w:tc>
          <w:tcPr>
            <w:tcW w:w="9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餐厅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  <w:lang w:eastAsia="zh-CN"/>
              </w:rPr>
              <w:t>外墙</w:t>
            </w:r>
            <w:r>
              <w:rPr>
                <w:rFonts w:hint="eastAsia" w:ascii="宋体" w:hAnsi="宋体" w:eastAsia="宋体"/>
                <w:sz w:val="20"/>
                <w:szCs w:val="24"/>
              </w:rPr>
              <w:t>填充墙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44.92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default" w:ascii="宋体" w:hAnsi="宋体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内墙填充墙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46.00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default" w:ascii="宋体" w:hAnsi="宋体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外窗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32.00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default" w:ascii="宋体" w:hAnsi="宋体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外门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26.00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default" w:ascii="宋体" w:hAnsi="宋体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6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内门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26.00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default" w:ascii="宋体" w:hAnsi="宋体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</w:p>
        </w:tc>
        <w:tc>
          <w:tcPr>
            <w:tcW w:w="9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eastAsia="zh-CN"/>
              </w:rPr>
              <w:t>层间楼板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" w:beforeLines="0" w:after="25" w:afterLines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49.69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  <w:r>
              <w:rPr>
                <w:rFonts w:ascii="Times New Roman" w:hAnsi="Times New Roman"/>
              </w:rPr>
              <w:t>楼板撞击声性能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主要功能房间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Cs w:val="22"/>
                <w:lang w:eastAsia="zh-CN"/>
              </w:rPr>
            </w:pPr>
            <w:r>
              <w:rPr>
                <w:rFonts w:hint="eastAsia" w:eastAsia="宋体"/>
                <w:szCs w:val="22"/>
                <w:lang w:eastAsia="zh-CN"/>
              </w:rPr>
              <w:t>楼板部位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撞击声隔声值</w:t>
            </w:r>
            <w:r>
              <w:rPr>
                <w:rFonts w:hint="default" w:eastAsia="宋体"/>
                <w:szCs w:val="22"/>
                <w:lang w:val="en-US" w:eastAsia="zh-CN"/>
              </w:rPr>
              <w:t>[dB(A)]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低限标准限值</w:t>
            </w:r>
            <w:r>
              <w:rPr>
                <w:rFonts w:hint="default" w:eastAsia="宋体"/>
                <w:szCs w:val="22"/>
                <w:lang w:val="en-US" w:eastAsia="zh-C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Times New Roman"/>
                <w:kern w:val="0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Calibri" w:eastAsia="宋体" w:cs="Times New Roman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餐厅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eastAsia" w:ascii="宋体" w:hAnsi="宋体" w:eastAsia="宋体" w:cs="Times New Roman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eastAsia="zh-CN"/>
              </w:rPr>
              <w:t>层间楼板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default" w:ascii="宋体" w:hAnsi="宋体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47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5" w:beforeLines="0" w:after="25" w:afterLines="0"/>
              <w:jc w:val="center"/>
              <w:rPr>
                <w:rFonts w:hint="default" w:ascii="宋体" w:hAnsi="宋体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  <w:lang w:val="en-US" w:eastAsia="zh-CN"/>
              </w:rPr>
              <w:t>50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围护结构降噪措施：室外噪声的降噪措施主要依靠外墙和外门窗的隔断。外墙采用200、300厚蒸压轻质砂加气混凝土砌块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墙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，外门窗为断桥铝框，玻璃采用5+12A+5 +12A+5，很好的阻断室外噪声的传播。为提高楼板撞击声隔声性能楼板增加挤塑聚苯板。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建筑施工图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室内噪声级检测报告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3）</w:t>
            </w:r>
            <w:r>
              <w:rPr>
                <w:rFonts w:ascii="Times New Roman" w:hAnsi="Times New Roman"/>
              </w:rPr>
              <w:t>主要构件隔声性能检测报告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47DE2"/>
    <w:multiLevelType w:val="singleLevel"/>
    <w:tmpl w:val="90047DE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381613"/>
    <w:rsid w:val="004B477E"/>
    <w:rsid w:val="004E1873"/>
    <w:rsid w:val="00525100"/>
    <w:rsid w:val="0069460D"/>
    <w:rsid w:val="006C5FA9"/>
    <w:rsid w:val="00923769"/>
    <w:rsid w:val="009E722D"/>
    <w:rsid w:val="00D13F11"/>
    <w:rsid w:val="00DF2A1B"/>
    <w:rsid w:val="00EA4ACA"/>
    <w:rsid w:val="0AA51311"/>
    <w:rsid w:val="279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681</Characters>
  <Lines>5</Lines>
  <Paragraphs>1</Paragraphs>
  <TotalTime>2</TotalTime>
  <ScaleCrop>false</ScaleCrop>
  <LinksUpToDate>false</LinksUpToDate>
  <CharactersWithSpaces>799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Administrator</cp:lastModifiedBy>
  <dcterms:modified xsi:type="dcterms:W3CDTF">2021-12-27T03:13:57Z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A2040074E7F249D690F7C0E3167F9D60</vt:lpwstr>
  </property>
</Properties>
</file>