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49E8" w:rsidRPr="00670D28" w:rsidRDefault="008749E8" w:rsidP="008749E8">
      <w:pPr>
        <w:spacing w:beforeLines="100" w:before="312" w:afterLines="100" w:after="312"/>
        <w:jc w:val="center"/>
        <w:rPr>
          <w:rFonts w:ascii="宋体" w:hAnsi="宋体"/>
          <w:b/>
          <w:sz w:val="36"/>
          <w:szCs w:val="36"/>
        </w:rPr>
      </w:pPr>
      <w:r w:rsidRPr="005F2A00">
        <w:rPr>
          <w:rFonts w:ascii="宋体" w:hAnsi="宋体" w:hint="eastAsia"/>
          <w:b/>
          <w:sz w:val="36"/>
          <w:szCs w:val="36"/>
        </w:rPr>
        <w:t>场地周边公共交通设施布局示意图</w:t>
      </w:r>
    </w:p>
    <w:p w:rsidR="008749E8" w:rsidRDefault="008749E8" w:rsidP="008749E8">
      <w:pPr>
        <w:pStyle w:val="1"/>
        <w:numPr>
          <w:ilvl w:val="0"/>
          <w:numId w:val="0"/>
        </w:numPr>
        <w:ind w:left="660" w:hanging="660"/>
      </w:pPr>
      <w:bookmarkStart w:id="0" w:name="_Toc511669854"/>
      <w:r>
        <w:rPr>
          <w:rFonts w:hint="eastAsia"/>
        </w:rPr>
        <w:t>一</w:t>
      </w:r>
      <w:r>
        <w:t>、</w:t>
      </w:r>
      <w:r>
        <w:rPr>
          <w:rFonts w:hint="eastAsia"/>
        </w:rPr>
        <w:t>项目概况</w:t>
      </w:r>
      <w:bookmarkEnd w:id="0"/>
    </w:p>
    <w:p w:rsidR="00706035" w:rsidRDefault="00A701A5" w:rsidP="008749E8">
      <w:pPr>
        <w:spacing w:line="360" w:lineRule="auto"/>
        <w:ind w:firstLineChars="200" w:firstLine="480"/>
        <w:jc w:val="left"/>
        <w:rPr>
          <w:rFonts w:cs="宋体"/>
          <w:kern w:val="0"/>
          <w:sz w:val="24"/>
        </w:rPr>
      </w:pPr>
      <w:bookmarkStart w:id="1" w:name="_Toc511669855"/>
      <w:r>
        <w:rPr>
          <w:rFonts w:cs="宋体" w:hint="eastAsia"/>
          <w:kern w:val="0"/>
          <w:sz w:val="24"/>
        </w:rPr>
        <w:t>本项目位于成都云溪</w:t>
      </w:r>
      <w:r w:rsidR="00706035" w:rsidRPr="00706035">
        <w:rPr>
          <w:rFonts w:cs="宋体" w:hint="eastAsia"/>
          <w:kern w:val="0"/>
          <w:sz w:val="24"/>
        </w:rPr>
        <w:t>区，项目北侧临</w:t>
      </w:r>
      <w:r>
        <w:rPr>
          <w:rFonts w:cs="宋体" w:hint="eastAsia"/>
          <w:kern w:val="0"/>
          <w:sz w:val="24"/>
        </w:rPr>
        <w:t>华港路，</w:t>
      </w:r>
      <w:proofErr w:type="gramStart"/>
      <w:r w:rsidR="00706035" w:rsidRPr="00706035">
        <w:rPr>
          <w:rFonts w:cs="宋体" w:hint="eastAsia"/>
          <w:kern w:val="0"/>
          <w:sz w:val="24"/>
        </w:rPr>
        <w:t>南临</w:t>
      </w:r>
      <w:r>
        <w:rPr>
          <w:rFonts w:cs="宋体" w:hint="eastAsia"/>
          <w:kern w:val="0"/>
          <w:sz w:val="24"/>
        </w:rPr>
        <w:t>云港</w:t>
      </w:r>
      <w:proofErr w:type="gramEnd"/>
      <w:r>
        <w:rPr>
          <w:rFonts w:cs="宋体" w:hint="eastAsia"/>
          <w:kern w:val="0"/>
          <w:sz w:val="24"/>
        </w:rPr>
        <w:t>大道，</w:t>
      </w:r>
      <w:proofErr w:type="gramStart"/>
      <w:r>
        <w:rPr>
          <w:rFonts w:cs="宋体" w:hint="eastAsia"/>
          <w:kern w:val="0"/>
          <w:sz w:val="24"/>
        </w:rPr>
        <w:t>西临未命名</w:t>
      </w:r>
      <w:proofErr w:type="gramEnd"/>
      <w:r>
        <w:rPr>
          <w:rFonts w:cs="宋体" w:hint="eastAsia"/>
          <w:kern w:val="0"/>
          <w:sz w:val="24"/>
        </w:rPr>
        <w:t>道</w:t>
      </w:r>
      <w:r w:rsidR="00706035" w:rsidRPr="00706035">
        <w:rPr>
          <w:rFonts w:cs="宋体" w:hint="eastAsia"/>
          <w:kern w:val="0"/>
          <w:sz w:val="24"/>
        </w:rPr>
        <w:t>路，东临</w:t>
      </w:r>
      <w:r>
        <w:rPr>
          <w:rFonts w:cs="宋体" w:hint="eastAsia"/>
          <w:kern w:val="0"/>
          <w:sz w:val="24"/>
        </w:rPr>
        <w:t>在建</w:t>
      </w:r>
      <w:r w:rsidR="00706035" w:rsidRPr="00706035">
        <w:rPr>
          <w:rFonts w:cs="宋体" w:hint="eastAsia"/>
          <w:kern w:val="0"/>
          <w:sz w:val="24"/>
        </w:rPr>
        <w:t>道路；整个场地成</w:t>
      </w:r>
      <w:r>
        <w:rPr>
          <w:rFonts w:cs="宋体" w:hint="eastAsia"/>
          <w:kern w:val="0"/>
          <w:sz w:val="24"/>
        </w:rPr>
        <w:t>五边</w:t>
      </w:r>
      <w:r w:rsidR="00706035" w:rsidRPr="00706035">
        <w:rPr>
          <w:rFonts w:cs="宋体" w:hint="eastAsia"/>
          <w:kern w:val="0"/>
          <w:sz w:val="24"/>
        </w:rPr>
        <w:t>形，西</w:t>
      </w:r>
      <w:r w:rsidR="0018506F">
        <w:rPr>
          <w:rFonts w:cs="宋体" w:hint="eastAsia"/>
          <w:kern w:val="0"/>
          <w:sz w:val="24"/>
        </w:rPr>
        <w:t>南边</w:t>
      </w:r>
      <w:r w:rsidR="00706035" w:rsidRPr="00706035">
        <w:rPr>
          <w:rFonts w:cs="宋体" w:hint="eastAsia"/>
          <w:kern w:val="0"/>
          <w:sz w:val="24"/>
        </w:rPr>
        <w:t>为最高点，</w:t>
      </w:r>
      <w:r w:rsidR="0018506F">
        <w:rPr>
          <w:rFonts w:cs="宋体" w:hint="eastAsia"/>
          <w:kern w:val="0"/>
          <w:sz w:val="24"/>
        </w:rPr>
        <w:t>西北角</w:t>
      </w:r>
      <w:r w:rsidR="00706035" w:rsidRPr="00706035">
        <w:rPr>
          <w:rFonts w:cs="宋体" w:hint="eastAsia"/>
          <w:kern w:val="0"/>
          <w:sz w:val="24"/>
        </w:rPr>
        <w:t>为最低点，最大高差约</w:t>
      </w:r>
      <w:r w:rsidR="0018506F">
        <w:rPr>
          <w:rFonts w:cs="宋体"/>
          <w:kern w:val="0"/>
          <w:sz w:val="24"/>
        </w:rPr>
        <w:t>1.2</w:t>
      </w:r>
      <w:r w:rsidR="0018506F">
        <w:rPr>
          <w:rFonts w:cs="宋体" w:hint="eastAsia"/>
          <w:kern w:val="0"/>
          <w:sz w:val="24"/>
        </w:rPr>
        <w:t>米；北</w:t>
      </w:r>
      <w:r w:rsidR="00706035" w:rsidRPr="00706035">
        <w:rPr>
          <w:rFonts w:cs="宋体" w:hint="eastAsia"/>
          <w:kern w:val="0"/>
          <w:sz w:val="24"/>
        </w:rPr>
        <w:t>侧市政道路已形成</w:t>
      </w:r>
      <w:r w:rsidR="00706035" w:rsidRPr="00706035">
        <w:rPr>
          <w:rFonts w:cs="宋体" w:hint="eastAsia"/>
          <w:kern w:val="0"/>
          <w:sz w:val="24"/>
        </w:rPr>
        <w:t>.</w:t>
      </w:r>
      <w:r w:rsidR="00706035" w:rsidRPr="00706035">
        <w:rPr>
          <w:rFonts w:cs="宋体" w:hint="eastAsia"/>
          <w:kern w:val="0"/>
          <w:sz w:val="24"/>
        </w:rPr>
        <w:t>地下水位等详见地</w:t>
      </w:r>
      <w:proofErr w:type="gramStart"/>
      <w:r w:rsidR="00706035" w:rsidRPr="00706035">
        <w:rPr>
          <w:rFonts w:cs="宋体" w:hint="eastAsia"/>
          <w:kern w:val="0"/>
          <w:sz w:val="24"/>
        </w:rPr>
        <w:t>勘</w:t>
      </w:r>
      <w:proofErr w:type="gramEnd"/>
      <w:r w:rsidR="00706035" w:rsidRPr="00706035">
        <w:rPr>
          <w:rFonts w:cs="宋体" w:hint="eastAsia"/>
          <w:kern w:val="0"/>
          <w:sz w:val="24"/>
        </w:rPr>
        <w:t>报告</w:t>
      </w:r>
      <w:r w:rsidR="00706035">
        <w:rPr>
          <w:rFonts w:cs="宋体" w:hint="eastAsia"/>
          <w:kern w:val="0"/>
          <w:sz w:val="24"/>
        </w:rPr>
        <w:t>。</w:t>
      </w:r>
    </w:p>
    <w:p w:rsidR="006B6ACD" w:rsidRDefault="006B6ACD" w:rsidP="006B6ACD">
      <w:pPr>
        <w:spacing w:line="360" w:lineRule="auto"/>
        <w:ind w:firstLineChars="200" w:firstLine="480"/>
        <w:jc w:val="left"/>
        <w:rPr>
          <w:rFonts w:cs="宋体"/>
          <w:kern w:val="0"/>
          <w:sz w:val="24"/>
        </w:rPr>
      </w:pPr>
      <w:r>
        <w:rPr>
          <w:rFonts w:cs="宋体" w:hint="eastAsia"/>
          <w:kern w:val="0"/>
          <w:sz w:val="24"/>
        </w:rPr>
        <w:t>本项目</w:t>
      </w:r>
      <w:r w:rsidRPr="006B6ACD">
        <w:rPr>
          <w:rFonts w:cs="宋体" w:hint="eastAsia"/>
          <w:kern w:val="0"/>
          <w:sz w:val="24"/>
        </w:rPr>
        <w:t>规划建设净用地总面积</w:t>
      </w:r>
      <w:r w:rsidR="006D1A12">
        <w:rPr>
          <w:rFonts w:cs="宋体"/>
          <w:kern w:val="0"/>
          <w:sz w:val="24"/>
        </w:rPr>
        <w:t>110126.00</w:t>
      </w:r>
      <w:r w:rsidRPr="006B6ACD">
        <w:rPr>
          <w:rFonts w:cs="宋体" w:hint="eastAsia"/>
          <w:kern w:val="0"/>
          <w:sz w:val="24"/>
        </w:rPr>
        <w:t>m2</w:t>
      </w:r>
      <w:r w:rsidRPr="006B6ACD">
        <w:rPr>
          <w:rFonts w:cs="宋体" w:hint="eastAsia"/>
          <w:kern w:val="0"/>
          <w:sz w:val="24"/>
        </w:rPr>
        <w:t>，总建筑面积</w:t>
      </w:r>
      <w:r w:rsidR="006D1A12">
        <w:rPr>
          <w:rFonts w:cs="宋体"/>
          <w:kern w:val="0"/>
          <w:sz w:val="24"/>
        </w:rPr>
        <w:t>280446.37</w:t>
      </w:r>
      <w:r w:rsidRPr="006B6ACD">
        <w:rPr>
          <w:rFonts w:cs="宋体" w:hint="eastAsia"/>
          <w:kern w:val="0"/>
          <w:sz w:val="24"/>
        </w:rPr>
        <w:t>m3</w:t>
      </w:r>
      <w:r w:rsidRPr="006B6ACD">
        <w:rPr>
          <w:rFonts w:cs="宋体" w:hint="eastAsia"/>
          <w:kern w:val="0"/>
          <w:sz w:val="24"/>
        </w:rPr>
        <w:t>，具体技术经济指标</w:t>
      </w:r>
      <w:proofErr w:type="gramStart"/>
      <w:r w:rsidRPr="006B6ACD">
        <w:rPr>
          <w:rFonts w:cs="宋体" w:hint="eastAsia"/>
          <w:kern w:val="0"/>
          <w:sz w:val="24"/>
        </w:rPr>
        <w:t>详</w:t>
      </w:r>
      <w:proofErr w:type="gramEnd"/>
      <w:r w:rsidRPr="006B6ACD">
        <w:rPr>
          <w:rFonts w:cs="宋体" w:hint="eastAsia"/>
          <w:kern w:val="0"/>
          <w:sz w:val="24"/>
        </w:rPr>
        <w:t>总图子项。</w:t>
      </w:r>
    </w:p>
    <w:p w:rsidR="008749E8" w:rsidRDefault="008749E8" w:rsidP="008749E8">
      <w:pPr>
        <w:pStyle w:val="1"/>
        <w:numPr>
          <w:ilvl w:val="0"/>
          <w:numId w:val="0"/>
        </w:numPr>
      </w:pPr>
      <w:r>
        <w:rPr>
          <w:rFonts w:hint="eastAsia"/>
        </w:rPr>
        <w:t>二</w:t>
      </w:r>
      <w:r>
        <w:t>、</w:t>
      </w:r>
      <w:r>
        <w:rPr>
          <w:rFonts w:hint="eastAsia"/>
        </w:rPr>
        <w:t>评价标准</w:t>
      </w:r>
      <w:bookmarkEnd w:id="1"/>
    </w:p>
    <w:p w:rsidR="008749E8" w:rsidRDefault="008749E8" w:rsidP="008749E8">
      <w:pPr>
        <w:spacing w:line="360" w:lineRule="auto"/>
        <w:ind w:firstLineChars="200" w:firstLine="480"/>
        <w:jc w:val="left"/>
        <w:rPr>
          <w:rFonts w:cs="宋体"/>
          <w:kern w:val="0"/>
          <w:sz w:val="24"/>
        </w:rPr>
      </w:pPr>
      <w:r>
        <w:rPr>
          <w:rFonts w:cs="宋体" w:hint="eastAsia"/>
          <w:kern w:val="0"/>
          <w:sz w:val="24"/>
        </w:rPr>
        <w:t xml:space="preserve">1. </w:t>
      </w:r>
      <w:r>
        <w:rPr>
          <w:rFonts w:cs="宋体" w:hint="eastAsia"/>
          <w:kern w:val="0"/>
          <w:sz w:val="24"/>
        </w:rPr>
        <w:t>《四川省民用</w:t>
      </w:r>
      <w:r>
        <w:rPr>
          <w:rFonts w:cs="宋体"/>
          <w:kern w:val="0"/>
          <w:sz w:val="24"/>
        </w:rPr>
        <w:t>绿色建筑设计施工图阶段审查技术要点</w:t>
      </w:r>
      <w:r>
        <w:rPr>
          <w:rFonts w:cs="宋体" w:hint="eastAsia"/>
          <w:kern w:val="0"/>
          <w:sz w:val="24"/>
        </w:rPr>
        <w:t>》</w:t>
      </w:r>
      <w:r w:rsidRPr="008A3018">
        <w:rPr>
          <w:rFonts w:cs="宋体" w:hint="eastAsia"/>
          <w:kern w:val="0"/>
          <w:sz w:val="24"/>
        </w:rPr>
        <w:t>（</w:t>
      </w:r>
      <w:r>
        <w:rPr>
          <w:rFonts w:cs="宋体" w:hint="eastAsia"/>
          <w:kern w:val="0"/>
          <w:sz w:val="24"/>
        </w:rPr>
        <w:t>试行</w:t>
      </w:r>
      <w:r w:rsidRPr="008A3018">
        <w:rPr>
          <w:rFonts w:cs="宋体" w:hint="eastAsia"/>
          <w:kern w:val="0"/>
          <w:sz w:val="24"/>
        </w:rPr>
        <w:t>）</w:t>
      </w:r>
      <w:r>
        <w:rPr>
          <w:rFonts w:cs="宋体" w:hint="eastAsia"/>
          <w:kern w:val="0"/>
          <w:sz w:val="24"/>
        </w:rPr>
        <w:t>中</w:t>
      </w:r>
      <w:r>
        <w:rPr>
          <w:rFonts w:cs="宋体"/>
          <w:kern w:val="0"/>
          <w:sz w:val="24"/>
        </w:rPr>
        <w:t>3</w:t>
      </w:r>
      <w:r>
        <w:rPr>
          <w:rFonts w:cs="宋体" w:hint="eastAsia"/>
          <w:kern w:val="0"/>
          <w:sz w:val="24"/>
        </w:rPr>
        <w:t>.1.</w:t>
      </w:r>
      <w:r>
        <w:rPr>
          <w:rFonts w:cs="宋体"/>
          <w:kern w:val="0"/>
          <w:sz w:val="24"/>
        </w:rPr>
        <w:t>11</w:t>
      </w:r>
      <w:r>
        <w:rPr>
          <w:rFonts w:cs="宋体" w:hint="eastAsia"/>
          <w:kern w:val="0"/>
          <w:sz w:val="24"/>
        </w:rPr>
        <w:t>条要求“场地与</w:t>
      </w:r>
      <w:r>
        <w:rPr>
          <w:rFonts w:cs="宋体"/>
          <w:kern w:val="0"/>
          <w:sz w:val="24"/>
        </w:rPr>
        <w:t>公共交通站点联系便捷</w:t>
      </w:r>
      <w:r>
        <w:rPr>
          <w:rFonts w:cs="宋体" w:hint="eastAsia"/>
          <w:kern w:val="0"/>
          <w:sz w:val="24"/>
        </w:rPr>
        <w:t>”。</w:t>
      </w:r>
    </w:p>
    <w:p w:rsidR="008749E8" w:rsidRDefault="008749E8" w:rsidP="008749E8">
      <w:pPr>
        <w:spacing w:line="360" w:lineRule="auto"/>
        <w:ind w:firstLineChars="200" w:firstLine="480"/>
        <w:jc w:val="left"/>
        <w:rPr>
          <w:rFonts w:cs="宋体"/>
          <w:kern w:val="0"/>
          <w:sz w:val="24"/>
        </w:rPr>
      </w:pPr>
      <w:r>
        <w:rPr>
          <w:rFonts w:cs="宋体"/>
          <w:kern w:val="0"/>
          <w:sz w:val="24"/>
        </w:rPr>
        <w:t xml:space="preserve">2. </w:t>
      </w:r>
      <w:r>
        <w:rPr>
          <w:rFonts w:cs="宋体" w:hint="eastAsia"/>
          <w:kern w:val="0"/>
          <w:sz w:val="24"/>
        </w:rPr>
        <w:t>《四川省民用</w:t>
      </w:r>
      <w:r>
        <w:rPr>
          <w:rFonts w:cs="宋体"/>
          <w:kern w:val="0"/>
          <w:sz w:val="24"/>
        </w:rPr>
        <w:t>绿色建筑设计施工图阶段审查技术要点</w:t>
      </w:r>
      <w:r>
        <w:rPr>
          <w:rFonts w:cs="宋体" w:hint="eastAsia"/>
          <w:kern w:val="0"/>
          <w:sz w:val="24"/>
        </w:rPr>
        <w:t>》</w:t>
      </w:r>
      <w:r w:rsidRPr="008A3018">
        <w:rPr>
          <w:rFonts w:cs="宋体" w:hint="eastAsia"/>
          <w:kern w:val="0"/>
          <w:sz w:val="24"/>
        </w:rPr>
        <w:t>（</w:t>
      </w:r>
      <w:r>
        <w:rPr>
          <w:rFonts w:cs="宋体" w:hint="eastAsia"/>
          <w:kern w:val="0"/>
          <w:sz w:val="24"/>
        </w:rPr>
        <w:t>试行</w:t>
      </w:r>
      <w:r w:rsidRPr="008A3018">
        <w:rPr>
          <w:rFonts w:cs="宋体" w:hint="eastAsia"/>
          <w:kern w:val="0"/>
          <w:sz w:val="24"/>
        </w:rPr>
        <w:t>）</w:t>
      </w:r>
      <w:r>
        <w:rPr>
          <w:rFonts w:cs="宋体" w:hint="eastAsia"/>
          <w:kern w:val="0"/>
          <w:sz w:val="24"/>
        </w:rPr>
        <w:t>中</w:t>
      </w:r>
      <w:r>
        <w:rPr>
          <w:rFonts w:cs="宋体"/>
          <w:kern w:val="0"/>
          <w:sz w:val="24"/>
        </w:rPr>
        <w:t>3</w:t>
      </w:r>
      <w:r>
        <w:rPr>
          <w:rFonts w:cs="宋体" w:hint="eastAsia"/>
          <w:kern w:val="0"/>
          <w:sz w:val="24"/>
        </w:rPr>
        <w:t>.1.</w:t>
      </w:r>
      <w:r>
        <w:rPr>
          <w:rFonts w:cs="宋体"/>
          <w:kern w:val="0"/>
          <w:sz w:val="24"/>
        </w:rPr>
        <w:t>13</w:t>
      </w:r>
      <w:r>
        <w:rPr>
          <w:rFonts w:cs="宋体" w:hint="eastAsia"/>
          <w:kern w:val="0"/>
          <w:sz w:val="24"/>
        </w:rPr>
        <w:t>条要求“提供</w:t>
      </w:r>
      <w:r>
        <w:rPr>
          <w:rFonts w:cs="宋体"/>
          <w:kern w:val="0"/>
          <w:sz w:val="24"/>
        </w:rPr>
        <w:t>便利的公共服务</w:t>
      </w:r>
      <w:r>
        <w:rPr>
          <w:rFonts w:cs="宋体" w:hint="eastAsia"/>
          <w:kern w:val="0"/>
          <w:sz w:val="24"/>
        </w:rPr>
        <w:t>”</w:t>
      </w:r>
    </w:p>
    <w:p w:rsidR="008749E8" w:rsidRPr="00FE7918" w:rsidRDefault="008749E8" w:rsidP="008749E8">
      <w:pPr>
        <w:spacing w:line="360" w:lineRule="auto"/>
        <w:ind w:firstLineChars="200" w:firstLine="480"/>
        <w:jc w:val="left"/>
        <w:rPr>
          <w:rFonts w:cs="宋体"/>
          <w:kern w:val="0"/>
          <w:sz w:val="24"/>
        </w:rPr>
      </w:pPr>
      <w:r>
        <w:rPr>
          <w:rFonts w:cs="宋体"/>
          <w:kern w:val="0"/>
          <w:sz w:val="24"/>
        </w:rPr>
        <w:t xml:space="preserve">3. </w:t>
      </w:r>
      <w:r>
        <w:rPr>
          <w:rFonts w:cs="宋体" w:hint="eastAsia"/>
          <w:kern w:val="0"/>
          <w:sz w:val="24"/>
        </w:rPr>
        <w:t>《四川省民用</w:t>
      </w:r>
      <w:r>
        <w:rPr>
          <w:rFonts w:cs="宋体"/>
          <w:kern w:val="0"/>
          <w:sz w:val="24"/>
        </w:rPr>
        <w:t>绿色建筑设计施工图阶段审查技术要点</w:t>
      </w:r>
      <w:r>
        <w:rPr>
          <w:rFonts w:cs="宋体" w:hint="eastAsia"/>
          <w:kern w:val="0"/>
          <w:sz w:val="24"/>
        </w:rPr>
        <w:t>》</w:t>
      </w:r>
      <w:r w:rsidRPr="008A3018">
        <w:rPr>
          <w:rFonts w:cs="宋体" w:hint="eastAsia"/>
          <w:kern w:val="0"/>
          <w:sz w:val="24"/>
        </w:rPr>
        <w:t>（</w:t>
      </w:r>
      <w:r>
        <w:rPr>
          <w:rFonts w:cs="宋体" w:hint="eastAsia"/>
          <w:kern w:val="0"/>
          <w:sz w:val="24"/>
        </w:rPr>
        <w:t>试行</w:t>
      </w:r>
      <w:r w:rsidRPr="008A3018">
        <w:rPr>
          <w:rFonts w:cs="宋体" w:hint="eastAsia"/>
          <w:kern w:val="0"/>
          <w:sz w:val="24"/>
        </w:rPr>
        <w:t>）</w:t>
      </w:r>
      <w:r>
        <w:rPr>
          <w:rFonts w:cs="宋体" w:hint="eastAsia"/>
          <w:kern w:val="0"/>
          <w:sz w:val="24"/>
        </w:rPr>
        <w:t>中</w:t>
      </w:r>
      <w:r>
        <w:rPr>
          <w:rFonts w:cs="宋体"/>
          <w:kern w:val="0"/>
          <w:sz w:val="24"/>
        </w:rPr>
        <w:t>3</w:t>
      </w:r>
      <w:r>
        <w:rPr>
          <w:rFonts w:cs="宋体" w:hint="eastAsia"/>
          <w:kern w:val="0"/>
          <w:sz w:val="24"/>
        </w:rPr>
        <w:t>.1.</w:t>
      </w:r>
      <w:r>
        <w:rPr>
          <w:rFonts w:cs="宋体"/>
          <w:kern w:val="0"/>
          <w:sz w:val="24"/>
        </w:rPr>
        <w:t>14</w:t>
      </w:r>
      <w:r>
        <w:rPr>
          <w:rFonts w:cs="宋体" w:hint="eastAsia"/>
          <w:kern w:val="0"/>
          <w:sz w:val="24"/>
        </w:rPr>
        <w:t>条要求“城市绿地</w:t>
      </w:r>
      <w:r>
        <w:rPr>
          <w:rFonts w:cs="宋体"/>
          <w:kern w:val="0"/>
          <w:sz w:val="24"/>
        </w:rPr>
        <w:t>、广场及公共运动场地等开敞空间</w:t>
      </w:r>
      <w:r>
        <w:rPr>
          <w:rFonts w:cs="宋体" w:hint="eastAsia"/>
          <w:kern w:val="0"/>
          <w:sz w:val="24"/>
        </w:rPr>
        <w:t>，步行</w:t>
      </w:r>
      <w:r>
        <w:rPr>
          <w:rFonts w:cs="宋体"/>
          <w:kern w:val="0"/>
          <w:sz w:val="24"/>
        </w:rPr>
        <w:t>可达</w:t>
      </w:r>
      <w:r>
        <w:rPr>
          <w:rFonts w:cs="宋体" w:hint="eastAsia"/>
          <w:kern w:val="0"/>
          <w:sz w:val="24"/>
        </w:rPr>
        <w:t>”</w:t>
      </w:r>
    </w:p>
    <w:p w:rsidR="008749E8" w:rsidRPr="00AC654E" w:rsidRDefault="008749E8" w:rsidP="008749E8">
      <w:pPr>
        <w:spacing w:line="360" w:lineRule="auto"/>
        <w:jc w:val="left"/>
        <w:rPr>
          <w:rFonts w:ascii="宋体" w:hAnsi="宋体"/>
          <w:sz w:val="24"/>
        </w:rPr>
      </w:pPr>
    </w:p>
    <w:p w:rsidR="008749E8" w:rsidRDefault="008749E8" w:rsidP="008749E8">
      <w:pPr>
        <w:pStyle w:val="1"/>
        <w:numPr>
          <w:ilvl w:val="0"/>
          <w:numId w:val="0"/>
        </w:numPr>
        <w:ind w:left="660" w:hanging="660"/>
      </w:pPr>
      <w:bookmarkStart w:id="2" w:name="_Toc469420953"/>
      <w:bookmarkStart w:id="3" w:name="_Toc511669856"/>
      <w:r>
        <w:rPr>
          <w:rFonts w:hint="eastAsia"/>
        </w:rPr>
        <w:t>三、</w:t>
      </w:r>
      <w:bookmarkEnd w:id="2"/>
      <w:bookmarkEnd w:id="3"/>
      <w:r>
        <w:rPr>
          <w:rFonts w:hint="eastAsia"/>
        </w:rPr>
        <w:t>项目周边</w:t>
      </w:r>
      <w:r w:rsidRPr="00EE3B2F">
        <w:rPr>
          <w:rFonts w:hint="eastAsia"/>
        </w:rPr>
        <w:t>交通</w:t>
      </w:r>
      <w:r>
        <w:rPr>
          <w:rFonts w:hint="eastAsia"/>
        </w:rPr>
        <w:t>设施分析</w:t>
      </w:r>
    </w:p>
    <w:p w:rsidR="009474C5" w:rsidRPr="007B00CC" w:rsidRDefault="00142715" w:rsidP="007B00CC">
      <w:pPr>
        <w:spacing w:line="360" w:lineRule="auto"/>
        <w:ind w:firstLineChars="200" w:firstLine="480"/>
        <w:rPr>
          <w:rFonts w:cs="宋体" w:hint="eastAsia"/>
          <w:kern w:val="0"/>
          <w:sz w:val="24"/>
        </w:rPr>
      </w:pPr>
      <w:r>
        <w:rPr>
          <w:rFonts w:cs="宋体" w:hint="eastAsia"/>
          <w:kern w:val="0"/>
          <w:sz w:val="24"/>
        </w:rPr>
        <w:t>本项目</w:t>
      </w:r>
      <w:r w:rsidR="000F647D">
        <w:rPr>
          <w:rFonts w:cs="宋体" w:hint="eastAsia"/>
          <w:kern w:val="0"/>
          <w:sz w:val="24"/>
        </w:rPr>
        <w:t>距</w:t>
      </w:r>
      <w:r w:rsidR="000F647D" w:rsidRPr="00554B79">
        <w:rPr>
          <w:rFonts w:cs="宋体" w:hint="eastAsia"/>
          <w:kern w:val="0"/>
          <w:sz w:val="24"/>
        </w:rPr>
        <w:t>场地出入口</w:t>
      </w:r>
      <w:r w:rsidR="006D1A12">
        <w:rPr>
          <w:rFonts w:cs="宋体"/>
          <w:kern w:val="0"/>
          <w:sz w:val="24"/>
        </w:rPr>
        <w:t>4</w:t>
      </w:r>
      <w:r w:rsidR="000F647D">
        <w:rPr>
          <w:rFonts w:cs="宋体" w:hint="eastAsia"/>
          <w:kern w:val="0"/>
          <w:sz w:val="24"/>
        </w:rPr>
        <w:t>00m</w:t>
      </w:r>
      <w:r w:rsidR="000F647D">
        <w:rPr>
          <w:rFonts w:cs="宋体" w:hint="eastAsia"/>
          <w:kern w:val="0"/>
          <w:sz w:val="24"/>
        </w:rPr>
        <w:t>处</w:t>
      </w:r>
      <w:proofErr w:type="gramStart"/>
      <w:r w:rsidR="000F647D">
        <w:rPr>
          <w:rFonts w:cs="宋体" w:hint="eastAsia"/>
          <w:kern w:val="0"/>
          <w:sz w:val="24"/>
        </w:rPr>
        <w:t>有</w:t>
      </w:r>
      <w:r w:rsidR="006D1A12">
        <w:rPr>
          <w:rFonts w:cs="宋体" w:hint="eastAsia"/>
          <w:kern w:val="0"/>
          <w:sz w:val="24"/>
        </w:rPr>
        <w:t>凌泊湖</w:t>
      </w:r>
      <w:proofErr w:type="gramEnd"/>
      <w:r w:rsidR="006D1A12">
        <w:rPr>
          <w:rFonts w:cs="宋体" w:hint="eastAsia"/>
          <w:kern w:val="0"/>
          <w:sz w:val="24"/>
        </w:rPr>
        <w:t>小区公交</w:t>
      </w:r>
      <w:r w:rsidR="000F647D">
        <w:rPr>
          <w:rFonts w:cs="宋体" w:hint="eastAsia"/>
          <w:kern w:val="0"/>
          <w:sz w:val="24"/>
        </w:rPr>
        <w:t>站</w:t>
      </w:r>
      <w:r w:rsidR="009474C5">
        <w:rPr>
          <w:rFonts w:hint="eastAsia"/>
          <w:sz w:val="24"/>
        </w:rPr>
        <w:t>。</w:t>
      </w:r>
      <w:r w:rsidR="0081238F">
        <w:rPr>
          <w:rFonts w:hint="eastAsia"/>
          <w:sz w:val="24"/>
        </w:rPr>
        <w:t>场地出入口距离</w:t>
      </w:r>
      <w:r w:rsidR="0081238F">
        <w:rPr>
          <w:rFonts w:hint="eastAsia"/>
          <w:sz w:val="24"/>
        </w:rPr>
        <w:t>8</w:t>
      </w:r>
      <w:r w:rsidR="0081238F">
        <w:rPr>
          <w:sz w:val="24"/>
        </w:rPr>
        <w:t>00m</w:t>
      </w:r>
      <w:r w:rsidR="0081238F">
        <w:rPr>
          <w:rFonts w:hint="eastAsia"/>
          <w:sz w:val="24"/>
        </w:rPr>
        <w:t>范围内有</w:t>
      </w:r>
      <w:r w:rsidR="00405797">
        <w:rPr>
          <w:rFonts w:hint="eastAsia"/>
          <w:sz w:val="24"/>
        </w:rPr>
        <w:t>云港路</w:t>
      </w:r>
      <w:r w:rsidR="00405797">
        <w:rPr>
          <w:rFonts w:hint="eastAsia"/>
          <w:sz w:val="24"/>
        </w:rPr>
        <w:t>-</w:t>
      </w:r>
      <w:r w:rsidR="00405797">
        <w:rPr>
          <w:rFonts w:hint="eastAsia"/>
          <w:sz w:val="24"/>
        </w:rPr>
        <w:t>公交站、云港大道</w:t>
      </w:r>
      <w:r w:rsidR="00405797">
        <w:rPr>
          <w:rFonts w:hint="eastAsia"/>
          <w:sz w:val="24"/>
        </w:rPr>
        <w:t>-</w:t>
      </w:r>
      <w:r w:rsidR="00405797">
        <w:rPr>
          <w:rFonts w:hint="eastAsia"/>
          <w:sz w:val="24"/>
        </w:rPr>
        <w:t>公交站两条线路的公共交通站点。</w:t>
      </w:r>
    </w:p>
    <w:p w:rsidR="007B00CC" w:rsidRDefault="00DF3FCB" w:rsidP="0054490F">
      <w:pPr>
        <w:spacing w:line="360" w:lineRule="auto"/>
        <w:ind w:firstLineChars="200" w:firstLine="480"/>
        <w:rPr>
          <w:rFonts w:cs="宋体"/>
          <w:kern w:val="0"/>
          <w:sz w:val="24"/>
        </w:rPr>
      </w:pPr>
      <w:r>
        <w:rPr>
          <w:rFonts w:cs="宋体" w:hint="eastAsia"/>
          <w:kern w:val="0"/>
          <w:sz w:val="24"/>
        </w:rPr>
        <w:t>本项目距</w:t>
      </w:r>
      <w:r w:rsidRPr="00554B79">
        <w:rPr>
          <w:rFonts w:cs="宋体" w:hint="eastAsia"/>
          <w:kern w:val="0"/>
          <w:sz w:val="24"/>
        </w:rPr>
        <w:t>场地出入口</w:t>
      </w:r>
      <w:r>
        <w:rPr>
          <w:rFonts w:cs="宋体"/>
          <w:kern w:val="0"/>
          <w:sz w:val="24"/>
        </w:rPr>
        <w:t>3</w:t>
      </w:r>
      <w:r>
        <w:rPr>
          <w:rFonts w:cs="宋体" w:hint="eastAsia"/>
          <w:kern w:val="0"/>
          <w:sz w:val="24"/>
        </w:rPr>
        <w:t>00m</w:t>
      </w:r>
      <w:r>
        <w:rPr>
          <w:rFonts w:cs="宋体" w:hint="eastAsia"/>
          <w:kern w:val="0"/>
          <w:sz w:val="24"/>
        </w:rPr>
        <w:t>处有</w:t>
      </w:r>
      <w:r w:rsidR="0054490F">
        <w:rPr>
          <w:rFonts w:cs="宋体" w:hint="eastAsia"/>
          <w:kern w:val="0"/>
          <w:sz w:val="24"/>
        </w:rPr>
        <w:t>永济中心</w:t>
      </w:r>
      <w:r>
        <w:rPr>
          <w:rFonts w:cs="宋体" w:hint="eastAsia"/>
          <w:kern w:val="0"/>
          <w:sz w:val="24"/>
        </w:rPr>
        <w:t>幼儿园</w:t>
      </w:r>
      <w:r w:rsidR="00A75982">
        <w:rPr>
          <w:rFonts w:cs="宋体" w:hint="eastAsia"/>
          <w:kern w:val="0"/>
          <w:sz w:val="24"/>
        </w:rPr>
        <w:t>；</w:t>
      </w:r>
      <w:r w:rsidR="00ED487E">
        <w:rPr>
          <w:rFonts w:cs="宋体" w:hint="eastAsia"/>
          <w:kern w:val="0"/>
          <w:sz w:val="24"/>
        </w:rPr>
        <w:t>4</w:t>
      </w:r>
      <w:r w:rsidR="00ED487E">
        <w:rPr>
          <w:rFonts w:cs="宋体" w:hint="eastAsia"/>
          <w:kern w:val="0"/>
          <w:sz w:val="24"/>
        </w:rPr>
        <w:t>00</w:t>
      </w:r>
      <w:r w:rsidR="00ED487E">
        <w:rPr>
          <w:rFonts w:cs="宋体"/>
          <w:kern w:val="0"/>
          <w:sz w:val="24"/>
        </w:rPr>
        <w:t>m</w:t>
      </w:r>
      <w:r w:rsidR="00ED487E">
        <w:rPr>
          <w:rFonts w:cs="宋体" w:hint="eastAsia"/>
          <w:kern w:val="0"/>
          <w:sz w:val="24"/>
        </w:rPr>
        <w:t>处有</w:t>
      </w:r>
      <w:r w:rsidR="00ED487E">
        <w:rPr>
          <w:rFonts w:cs="宋体" w:hint="eastAsia"/>
          <w:kern w:val="0"/>
          <w:sz w:val="24"/>
        </w:rPr>
        <w:t>岳阳市郡华</w:t>
      </w:r>
      <w:r w:rsidR="00AF4501">
        <w:rPr>
          <w:rFonts w:cs="宋体" w:hint="eastAsia"/>
          <w:kern w:val="0"/>
          <w:sz w:val="24"/>
        </w:rPr>
        <w:t>学校（小学）</w:t>
      </w:r>
      <w:r w:rsidR="00ED487E">
        <w:rPr>
          <w:rFonts w:cs="宋体" w:hint="eastAsia"/>
          <w:kern w:val="0"/>
          <w:sz w:val="24"/>
        </w:rPr>
        <w:t>；</w:t>
      </w:r>
      <w:r w:rsidR="0054490F">
        <w:rPr>
          <w:rFonts w:cs="宋体"/>
          <w:kern w:val="0"/>
          <w:sz w:val="24"/>
        </w:rPr>
        <w:t>3</w:t>
      </w:r>
      <w:r w:rsidR="007B00CC">
        <w:rPr>
          <w:rFonts w:cs="宋体" w:hint="eastAsia"/>
          <w:kern w:val="0"/>
          <w:sz w:val="24"/>
        </w:rPr>
        <w:t>00</w:t>
      </w:r>
      <w:r w:rsidR="007B00CC">
        <w:rPr>
          <w:rFonts w:cs="宋体"/>
          <w:kern w:val="0"/>
          <w:sz w:val="24"/>
        </w:rPr>
        <w:t>m</w:t>
      </w:r>
      <w:r w:rsidR="007B00CC">
        <w:rPr>
          <w:rFonts w:cs="宋体" w:hint="eastAsia"/>
          <w:kern w:val="0"/>
          <w:sz w:val="24"/>
        </w:rPr>
        <w:t>处有</w:t>
      </w:r>
      <w:r w:rsidR="0054490F">
        <w:rPr>
          <w:rFonts w:cs="宋体" w:hint="eastAsia"/>
          <w:kern w:val="0"/>
          <w:sz w:val="24"/>
        </w:rPr>
        <w:t>永济</w:t>
      </w:r>
      <w:r w:rsidR="007B00CC" w:rsidRPr="007B00CC">
        <w:rPr>
          <w:rFonts w:cs="宋体"/>
          <w:kern w:val="0"/>
          <w:sz w:val="24"/>
        </w:rPr>
        <w:t>中学</w:t>
      </w:r>
      <w:r w:rsidR="007B00CC">
        <w:rPr>
          <w:rFonts w:cs="宋体" w:hint="eastAsia"/>
          <w:kern w:val="0"/>
          <w:sz w:val="24"/>
        </w:rPr>
        <w:t>；</w:t>
      </w:r>
      <w:r w:rsidR="00964C3A">
        <w:rPr>
          <w:rFonts w:cs="宋体"/>
          <w:kern w:val="0"/>
          <w:sz w:val="24"/>
        </w:rPr>
        <w:t>4</w:t>
      </w:r>
      <w:r w:rsidR="00617991">
        <w:rPr>
          <w:rFonts w:cs="宋体" w:hint="eastAsia"/>
          <w:kern w:val="0"/>
          <w:sz w:val="24"/>
        </w:rPr>
        <w:t>00</w:t>
      </w:r>
      <w:r w:rsidR="00617991">
        <w:rPr>
          <w:rFonts w:cs="宋体"/>
          <w:kern w:val="0"/>
          <w:sz w:val="24"/>
        </w:rPr>
        <w:t>m</w:t>
      </w:r>
      <w:r w:rsidR="00617991">
        <w:rPr>
          <w:rFonts w:cs="宋体" w:hint="eastAsia"/>
          <w:kern w:val="0"/>
          <w:sz w:val="24"/>
        </w:rPr>
        <w:t>处有</w:t>
      </w:r>
      <w:r w:rsidR="00964C3A">
        <w:rPr>
          <w:rFonts w:cs="宋体" w:hint="eastAsia"/>
          <w:kern w:val="0"/>
          <w:sz w:val="24"/>
        </w:rPr>
        <w:t>嘉</w:t>
      </w:r>
      <w:proofErr w:type="gramStart"/>
      <w:r w:rsidR="00964C3A">
        <w:rPr>
          <w:rFonts w:cs="宋体" w:hint="eastAsia"/>
          <w:kern w:val="0"/>
          <w:sz w:val="24"/>
        </w:rPr>
        <w:t>旺乐购</w:t>
      </w:r>
      <w:proofErr w:type="gramEnd"/>
      <w:r w:rsidR="00617991">
        <w:rPr>
          <w:rFonts w:cs="宋体" w:hint="eastAsia"/>
          <w:kern w:val="0"/>
          <w:sz w:val="24"/>
        </w:rPr>
        <w:t>；</w:t>
      </w:r>
      <w:r w:rsidR="0081238F">
        <w:rPr>
          <w:rFonts w:cs="宋体"/>
          <w:kern w:val="0"/>
          <w:sz w:val="24"/>
        </w:rPr>
        <w:t>3</w:t>
      </w:r>
      <w:r w:rsidR="00617991">
        <w:rPr>
          <w:rFonts w:cs="宋体" w:hint="eastAsia"/>
          <w:kern w:val="0"/>
          <w:sz w:val="24"/>
        </w:rPr>
        <w:t>00</w:t>
      </w:r>
      <w:r w:rsidR="00617991">
        <w:rPr>
          <w:rFonts w:cs="宋体"/>
          <w:kern w:val="0"/>
          <w:sz w:val="24"/>
        </w:rPr>
        <w:t>m</w:t>
      </w:r>
      <w:r w:rsidR="00617991">
        <w:rPr>
          <w:rFonts w:cs="宋体" w:hint="eastAsia"/>
          <w:kern w:val="0"/>
          <w:sz w:val="24"/>
        </w:rPr>
        <w:t>处有</w:t>
      </w:r>
      <w:r w:rsidR="0081238F">
        <w:rPr>
          <w:rFonts w:cs="宋体" w:hint="eastAsia"/>
          <w:kern w:val="0"/>
          <w:sz w:val="24"/>
        </w:rPr>
        <w:t>纤纤伊人美容馆</w:t>
      </w:r>
      <w:r w:rsidR="00617991">
        <w:rPr>
          <w:rFonts w:cs="宋体" w:hint="eastAsia"/>
          <w:kern w:val="0"/>
          <w:sz w:val="24"/>
        </w:rPr>
        <w:t>；</w:t>
      </w:r>
      <w:r w:rsidR="00964C3A">
        <w:rPr>
          <w:rFonts w:cs="宋体"/>
          <w:kern w:val="0"/>
          <w:sz w:val="24"/>
        </w:rPr>
        <w:t>5</w:t>
      </w:r>
      <w:r w:rsidR="00617991">
        <w:rPr>
          <w:rFonts w:cs="宋体" w:hint="eastAsia"/>
          <w:kern w:val="0"/>
          <w:sz w:val="24"/>
        </w:rPr>
        <w:t>00</w:t>
      </w:r>
      <w:r w:rsidR="00617991">
        <w:rPr>
          <w:rFonts w:cs="宋体"/>
          <w:kern w:val="0"/>
          <w:sz w:val="24"/>
        </w:rPr>
        <w:t>m</w:t>
      </w:r>
      <w:r w:rsidR="00617991">
        <w:rPr>
          <w:rFonts w:cs="宋体" w:hint="eastAsia"/>
          <w:kern w:val="0"/>
          <w:sz w:val="24"/>
        </w:rPr>
        <w:t>处</w:t>
      </w:r>
      <w:proofErr w:type="gramStart"/>
      <w:r w:rsidR="00617991">
        <w:rPr>
          <w:rFonts w:cs="宋体" w:hint="eastAsia"/>
          <w:kern w:val="0"/>
          <w:sz w:val="24"/>
        </w:rPr>
        <w:t>有</w:t>
      </w:r>
      <w:r w:rsidR="00964C3A">
        <w:rPr>
          <w:rFonts w:cs="宋体" w:hint="eastAsia"/>
          <w:kern w:val="0"/>
          <w:sz w:val="24"/>
        </w:rPr>
        <w:t>养天和</w:t>
      </w:r>
      <w:proofErr w:type="gramEnd"/>
      <w:r w:rsidR="00964C3A">
        <w:rPr>
          <w:rFonts w:cs="宋体" w:hint="eastAsia"/>
          <w:kern w:val="0"/>
          <w:sz w:val="24"/>
        </w:rPr>
        <w:t>大药房</w:t>
      </w:r>
      <w:r w:rsidR="00617991">
        <w:rPr>
          <w:rFonts w:cs="宋体" w:hint="eastAsia"/>
          <w:kern w:val="0"/>
          <w:sz w:val="24"/>
        </w:rPr>
        <w:t>；</w:t>
      </w:r>
      <w:r w:rsidR="000319AB">
        <w:rPr>
          <w:rFonts w:cs="宋体"/>
          <w:kern w:val="0"/>
          <w:sz w:val="24"/>
        </w:rPr>
        <w:t>5</w:t>
      </w:r>
      <w:r w:rsidR="00617991">
        <w:rPr>
          <w:rFonts w:cs="宋体" w:hint="eastAsia"/>
          <w:kern w:val="0"/>
          <w:sz w:val="24"/>
        </w:rPr>
        <w:t>00</w:t>
      </w:r>
      <w:r w:rsidR="00617991">
        <w:rPr>
          <w:rFonts w:cs="宋体"/>
          <w:kern w:val="0"/>
          <w:sz w:val="24"/>
        </w:rPr>
        <w:t>m</w:t>
      </w:r>
      <w:r w:rsidR="00617991">
        <w:rPr>
          <w:rFonts w:cs="宋体" w:hint="eastAsia"/>
          <w:kern w:val="0"/>
          <w:sz w:val="24"/>
        </w:rPr>
        <w:t>处有</w:t>
      </w:r>
      <w:r w:rsidR="000319AB" w:rsidRPr="000319AB">
        <w:rPr>
          <w:rFonts w:cs="宋体"/>
          <w:kern w:val="0"/>
          <w:sz w:val="24"/>
        </w:rPr>
        <w:t>洞</w:t>
      </w:r>
      <w:proofErr w:type="gramStart"/>
      <w:r w:rsidR="000319AB" w:rsidRPr="000319AB">
        <w:rPr>
          <w:rFonts w:cs="宋体"/>
          <w:kern w:val="0"/>
          <w:sz w:val="24"/>
        </w:rPr>
        <w:t>氮胡记</w:t>
      </w:r>
      <w:proofErr w:type="gramEnd"/>
      <w:r w:rsidR="000319AB" w:rsidRPr="000319AB">
        <w:rPr>
          <w:rFonts w:cs="宋体"/>
          <w:kern w:val="0"/>
          <w:sz w:val="24"/>
        </w:rPr>
        <w:t>羊肉馆</w:t>
      </w:r>
      <w:r w:rsidR="000319AB">
        <w:rPr>
          <w:rFonts w:cs="宋体" w:hint="eastAsia"/>
          <w:kern w:val="0"/>
          <w:sz w:val="24"/>
        </w:rPr>
        <w:t>（餐饮）</w:t>
      </w:r>
      <w:r w:rsidR="00617991">
        <w:rPr>
          <w:rFonts w:cs="宋体" w:hint="eastAsia"/>
          <w:kern w:val="0"/>
          <w:sz w:val="24"/>
        </w:rPr>
        <w:t>。</w:t>
      </w:r>
    </w:p>
    <w:p w:rsidR="008749E8" w:rsidRPr="00505934" w:rsidRDefault="00D75F8B" w:rsidP="001C30E2">
      <w:pPr>
        <w:spacing w:line="360" w:lineRule="auto"/>
        <w:ind w:firstLineChars="200" w:firstLine="480"/>
      </w:pPr>
      <w:r>
        <w:rPr>
          <w:rFonts w:cs="宋体" w:hint="eastAsia"/>
          <w:kern w:val="0"/>
          <w:sz w:val="24"/>
        </w:rPr>
        <w:t>本项目距</w:t>
      </w:r>
      <w:r w:rsidRPr="00554B79">
        <w:rPr>
          <w:rFonts w:cs="宋体" w:hint="eastAsia"/>
          <w:kern w:val="0"/>
          <w:sz w:val="24"/>
        </w:rPr>
        <w:t>场地出入口</w:t>
      </w:r>
      <w:r w:rsidR="00AF4501">
        <w:rPr>
          <w:rFonts w:cs="宋体"/>
          <w:kern w:val="0"/>
          <w:sz w:val="24"/>
        </w:rPr>
        <w:t>4</w:t>
      </w:r>
      <w:r>
        <w:rPr>
          <w:rFonts w:cs="宋体" w:hint="eastAsia"/>
          <w:kern w:val="0"/>
          <w:sz w:val="24"/>
        </w:rPr>
        <w:t>00m</w:t>
      </w:r>
      <w:r>
        <w:rPr>
          <w:rFonts w:cs="宋体" w:hint="eastAsia"/>
          <w:kern w:val="0"/>
          <w:sz w:val="24"/>
        </w:rPr>
        <w:t>处有</w:t>
      </w:r>
      <w:r w:rsidR="001A1BD8">
        <w:rPr>
          <w:rFonts w:cs="宋体" w:hint="eastAsia"/>
          <w:kern w:val="0"/>
          <w:sz w:val="24"/>
        </w:rPr>
        <w:t>岳阳市郡华学校</w:t>
      </w:r>
      <w:r w:rsidR="001A1BD8">
        <w:rPr>
          <w:rFonts w:cs="宋体" w:hint="eastAsia"/>
          <w:kern w:val="0"/>
          <w:sz w:val="24"/>
        </w:rPr>
        <w:t>运动场（对外开放）。</w:t>
      </w:r>
    </w:p>
    <w:p w:rsidR="008749E8" w:rsidRDefault="008E02B9" w:rsidP="008749E8">
      <w:pPr>
        <w:pStyle w:val="1"/>
        <w:numPr>
          <w:ilvl w:val="0"/>
          <w:numId w:val="0"/>
        </w:numPr>
      </w:pPr>
      <w:bookmarkStart w:id="4" w:name="_Toc469420954"/>
      <w:bookmarkStart w:id="5" w:name="_Toc511669857"/>
      <w:r>
        <w:rPr>
          <w:noProof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-2.95pt;margin-top:44.4pt;width:410.25pt;height:296.35pt;z-index:251659264;mso-position-horizontal-relative:text;mso-position-vertical-relative:text;mso-width-relative:page;mso-height-relative:page">
            <v:imagedata r:id="rId7" o:title="图片1" cropleft="4624f"/>
            <w10:wrap type="square"/>
          </v:shape>
        </w:pict>
      </w:r>
      <w:r w:rsidR="008749E8">
        <w:rPr>
          <w:rFonts w:hint="eastAsia"/>
        </w:rPr>
        <w:t>四</w:t>
      </w:r>
      <w:r w:rsidR="008749E8">
        <w:t>、</w:t>
      </w:r>
      <w:bookmarkEnd w:id="4"/>
      <w:bookmarkEnd w:id="5"/>
      <w:r w:rsidR="008749E8" w:rsidRPr="009E31C3">
        <w:rPr>
          <w:rFonts w:hint="eastAsia"/>
        </w:rPr>
        <w:t>交通设施分析图</w:t>
      </w:r>
    </w:p>
    <w:p w:rsidR="008749E8" w:rsidRDefault="008749E8" w:rsidP="008749E8">
      <w:pPr>
        <w:pStyle w:val="a0"/>
        <w:ind w:leftChars="0" w:left="0" w:right="1470"/>
        <w:jc w:val="left"/>
        <w:rPr>
          <w:rFonts w:hint="eastAsia"/>
          <w:noProof/>
        </w:rPr>
      </w:pPr>
    </w:p>
    <w:p w:rsidR="008749E8" w:rsidRPr="00964DD8" w:rsidRDefault="008749E8" w:rsidP="008749E8">
      <w:pPr>
        <w:pStyle w:val="1"/>
        <w:numPr>
          <w:ilvl w:val="0"/>
          <w:numId w:val="0"/>
        </w:numPr>
      </w:pPr>
      <w:bookmarkStart w:id="6" w:name="_Toc465870731"/>
      <w:bookmarkStart w:id="7" w:name="_Toc469420955"/>
      <w:bookmarkStart w:id="8" w:name="_Toc511669858"/>
      <w:r w:rsidRPr="00964DD8">
        <w:t>五</w:t>
      </w:r>
      <w:r w:rsidRPr="00964DD8">
        <w:rPr>
          <w:rFonts w:hint="eastAsia"/>
        </w:rPr>
        <w:t>、</w:t>
      </w:r>
      <w:r w:rsidRPr="00964DD8">
        <w:t>结论</w:t>
      </w:r>
      <w:bookmarkEnd w:id="6"/>
      <w:bookmarkEnd w:id="7"/>
      <w:bookmarkEnd w:id="8"/>
    </w:p>
    <w:p w:rsidR="008749E8" w:rsidRDefault="008749E8" w:rsidP="008749E8">
      <w:pPr>
        <w:spacing w:line="360" w:lineRule="auto"/>
        <w:ind w:firstLineChars="200" w:firstLine="480"/>
        <w:jc w:val="left"/>
        <w:rPr>
          <w:rFonts w:cs="宋体"/>
          <w:kern w:val="0"/>
          <w:sz w:val="24"/>
        </w:rPr>
      </w:pPr>
      <w:r>
        <w:rPr>
          <w:rFonts w:cs="宋体"/>
          <w:kern w:val="0"/>
          <w:sz w:val="24"/>
        </w:rPr>
        <w:t xml:space="preserve">1. </w:t>
      </w:r>
      <w:r>
        <w:rPr>
          <w:rFonts w:cs="宋体" w:hint="eastAsia"/>
          <w:kern w:val="0"/>
          <w:sz w:val="24"/>
        </w:rPr>
        <w:t>因</w:t>
      </w:r>
      <w:r w:rsidRPr="00AC654E">
        <w:rPr>
          <w:rFonts w:cs="宋体" w:hint="eastAsia"/>
          <w:kern w:val="0"/>
          <w:sz w:val="24"/>
        </w:rPr>
        <w:t>场地出入口到达公共交通站点的步行距离不超过</w:t>
      </w:r>
      <w:r w:rsidRPr="00AC654E">
        <w:rPr>
          <w:rFonts w:cs="宋体"/>
          <w:kern w:val="0"/>
          <w:sz w:val="24"/>
        </w:rPr>
        <w:t>500m</w:t>
      </w:r>
      <w:r w:rsidRPr="00AC654E">
        <w:rPr>
          <w:rFonts w:cs="宋体" w:hint="eastAsia"/>
          <w:kern w:val="0"/>
          <w:sz w:val="24"/>
        </w:rPr>
        <w:t>；场地出入口步行距离</w:t>
      </w:r>
      <w:r w:rsidR="00E90063">
        <w:rPr>
          <w:rFonts w:cs="宋体"/>
          <w:kern w:val="0"/>
          <w:sz w:val="24"/>
        </w:rPr>
        <w:t>800m</w:t>
      </w:r>
      <w:r w:rsidRPr="00AC654E">
        <w:rPr>
          <w:rFonts w:cs="宋体" w:hint="eastAsia"/>
          <w:kern w:val="0"/>
          <w:sz w:val="24"/>
        </w:rPr>
        <w:t>范围内设有不少于</w:t>
      </w:r>
      <w:r w:rsidRPr="00AC654E">
        <w:rPr>
          <w:rFonts w:cs="宋体"/>
          <w:kern w:val="0"/>
          <w:sz w:val="24"/>
        </w:rPr>
        <w:t xml:space="preserve">2 </w:t>
      </w:r>
      <w:r w:rsidRPr="00AC654E">
        <w:rPr>
          <w:rFonts w:cs="宋体" w:hint="eastAsia"/>
          <w:kern w:val="0"/>
          <w:sz w:val="24"/>
        </w:rPr>
        <w:t>条线路的公共交通站点。满足</w:t>
      </w:r>
      <w:r>
        <w:rPr>
          <w:rFonts w:cs="宋体" w:hint="eastAsia"/>
          <w:kern w:val="0"/>
          <w:sz w:val="24"/>
        </w:rPr>
        <w:t>《四川省民用</w:t>
      </w:r>
      <w:r>
        <w:rPr>
          <w:rFonts w:cs="宋体"/>
          <w:kern w:val="0"/>
          <w:sz w:val="24"/>
        </w:rPr>
        <w:t>绿色建筑设计施工图阶段审查技术要点</w:t>
      </w:r>
      <w:r>
        <w:rPr>
          <w:rFonts w:cs="宋体" w:hint="eastAsia"/>
          <w:kern w:val="0"/>
          <w:sz w:val="24"/>
        </w:rPr>
        <w:t>》</w:t>
      </w:r>
      <w:r w:rsidRPr="008A3018">
        <w:rPr>
          <w:rFonts w:cs="宋体" w:hint="eastAsia"/>
          <w:kern w:val="0"/>
          <w:sz w:val="24"/>
        </w:rPr>
        <w:t>（</w:t>
      </w:r>
      <w:r>
        <w:rPr>
          <w:rFonts w:cs="宋体" w:hint="eastAsia"/>
          <w:kern w:val="0"/>
          <w:sz w:val="24"/>
        </w:rPr>
        <w:t>试行</w:t>
      </w:r>
      <w:r w:rsidRPr="008A3018">
        <w:rPr>
          <w:rFonts w:cs="宋体" w:hint="eastAsia"/>
          <w:kern w:val="0"/>
          <w:sz w:val="24"/>
        </w:rPr>
        <w:t>）</w:t>
      </w:r>
      <w:r>
        <w:rPr>
          <w:rFonts w:cs="宋体" w:hint="eastAsia"/>
          <w:kern w:val="0"/>
          <w:sz w:val="24"/>
        </w:rPr>
        <w:t>中</w:t>
      </w:r>
      <w:r>
        <w:rPr>
          <w:rFonts w:cs="宋体"/>
          <w:kern w:val="0"/>
          <w:sz w:val="24"/>
        </w:rPr>
        <w:t>3</w:t>
      </w:r>
      <w:r>
        <w:rPr>
          <w:rFonts w:cs="宋体" w:hint="eastAsia"/>
          <w:kern w:val="0"/>
          <w:sz w:val="24"/>
        </w:rPr>
        <w:t>.1.</w:t>
      </w:r>
      <w:r>
        <w:rPr>
          <w:rFonts w:cs="宋体"/>
          <w:kern w:val="0"/>
          <w:sz w:val="24"/>
        </w:rPr>
        <w:t>11</w:t>
      </w:r>
      <w:r>
        <w:rPr>
          <w:rFonts w:cs="宋体" w:hint="eastAsia"/>
          <w:kern w:val="0"/>
          <w:sz w:val="24"/>
        </w:rPr>
        <w:t>条要求，可得</w:t>
      </w:r>
      <w:r w:rsidR="008E02B9">
        <w:rPr>
          <w:rFonts w:cs="宋体"/>
          <w:kern w:val="0"/>
          <w:sz w:val="24"/>
        </w:rPr>
        <w:t>6</w:t>
      </w:r>
      <w:r>
        <w:rPr>
          <w:rFonts w:cs="宋体" w:hint="eastAsia"/>
          <w:kern w:val="0"/>
          <w:sz w:val="24"/>
        </w:rPr>
        <w:t>分。</w:t>
      </w:r>
    </w:p>
    <w:p w:rsidR="008749E8" w:rsidRDefault="008749E8" w:rsidP="00BA7C1B">
      <w:pPr>
        <w:spacing w:line="360" w:lineRule="auto"/>
        <w:ind w:firstLineChars="200" w:firstLine="480"/>
        <w:jc w:val="left"/>
        <w:rPr>
          <w:rFonts w:cs="宋体"/>
          <w:kern w:val="0"/>
          <w:sz w:val="24"/>
        </w:rPr>
      </w:pPr>
      <w:r>
        <w:rPr>
          <w:rFonts w:cs="宋体" w:hint="eastAsia"/>
          <w:kern w:val="0"/>
          <w:sz w:val="24"/>
        </w:rPr>
        <w:t xml:space="preserve">2. </w:t>
      </w:r>
      <w:r>
        <w:rPr>
          <w:rFonts w:cs="宋体" w:hint="eastAsia"/>
          <w:kern w:val="0"/>
          <w:sz w:val="24"/>
        </w:rPr>
        <w:t>因</w:t>
      </w:r>
      <w:r w:rsidRPr="00D3628A">
        <w:rPr>
          <w:rFonts w:cs="宋体" w:hint="eastAsia"/>
          <w:kern w:val="0"/>
          <w:sz w:val="24"/>
        </w:rPr>
        <w:t>项目出入口距幼儿园步行距离≤</w:t>
      </w:r>
      <w:r w:rsidRPr="00D3628A">
        <w:rPr>
          <w:rFonts w:cs="宋体"/>
          <w:kern w:val="0"/>
          <w:sz w:val="24"/>
        </w:rPr>
        <w:t>300m</w:t>
      </w:r>
      <w:r>
        <w:rPr>
          <w:rFonts w:cs="宋体" w:hint="eastAsia"/>
          <w:kern w:val="0"/>
          <w:sz w:val="24"/>
        </w:rPr>
        <w:t>；</w:t>
      </w:r>
      <w:r w:rsidRPr="00D3628A">
        <w:rPr>
          <w:rFonts w:cs="宋体" w:hint="eastAsia"/>
          <w:kern w:val="0"/>
          <w:sz w:val="24"/>
        </w:rPr>
        <w:t>项目出入口</w:t>
      </w:r>
      <w:proofErr w:type="gramStart"/>
      <w:r w:rsidRPr="00D3628A">
        <w:rPr>
          <w:rFonts w:cs="宋体" w:hint="eastAsia"/>
          <w:kern w:val="0"/>
          <w:sz w:val="24"/>
        </w:rPr>
        <w:t>距小学</w:t>
      </w:r>
      <w:proofErr w:type="gramEnd"/>
      <w:r w:rsidRPr="00D3628A">
        <w:rPr>
          <w:rFonts w:cs="宋体" w:hint="eastAsia"/>
          <w:kern w:val="0"/>
          <w:sz w:val="24"/>
        </w:rPr>
        <w:t>步行距离≤</w:t>
      </w:r>
      <w:r w:rsidRPr="00D3628A">
        <w:rPr>
          <w:rFonts w:cs="宋体"/>
          <w:kern w:val="0"/>
          <w:sz w:val="24"/>
        </w:rPr>
        <w:t>500m</w:t>
      </w:r>
      <w:r w:rsidRPr="00D3628A">
        <w:rPr>
          <w:rFonts w:cs="宋体" w:hint="eastAsia"/>
          <w:kern w:val="0"/>
          <w:sz w:val="24"/>
        </w:rPr>
        <w:t>；</w:t>
      </w:r>
      <w:r w:rsidR="00BA7C1B" w:rsidRPr="00D3628A">
        <w:rPr>
          <w:rFonts w:cs="宋体" w:hint="eastAsia"/>
          <w:kern w:val="0"/>
          <w:sz w:val="24"/>
        </w:rPr>
        <w:t>项目出入口</w:t>
      </w:r>
      <w:proofErr w:type="gramStart"/>
      <w:r w:rsidR="00BA7C1B" w:rsidRPr="00D3628A">
        <w:rPr>
          <w:rFonts w:cs="宋体" w:hint="eastAsia"/>
          <w:kern w:val="0"/>
          <w:sz w:val="24"/>
        </w:rPr>
        <w:t>距</w:t>
      </w:r>
      <w:r w:rsidR="00BA7C1B">
        <w:rPr>
          <w:rFonts w:cs="宋体"/>
          <w:kern w:val="0"/>
          <w:sz w:val="24"/>
        </w:rPr>
        <w:t>中</w:t>
      </w:r>
      <w:r w:rsidR="00BA7C1B" w:rsidRPr="00D3628A">
        <w:rPr>
          <w:rFonts w:cs="宋体" w:hint="eastAsia"/>
          <w:kern w:val="0"/>
          <w:sz w:val="24"/>
        </w:rPr>
        <w:t>学</w:t>
      </w:r>
      <w:proofErr w:type="gramEnd"/>
      <w:r w:rsidR="00BA7C1B" w:rsidRPr="00D3628A">
        <w:rPr>
          <w:rFonts w:cs="宋体" w:hint="eastAsia"/>
          <w:kern w:val="0"/>
          <w:sz w:val="24"/>
        </w:rPr>
        <w:t>步行距离≤</w:t>
      </w:r>
      <w:r w:rsidR="00BA7C1B">
        <w:rPr>
          <w:rFonts w:cs="宋体"/>
          <w:kern w:val="0"/>
          <w:sz w:val="24"/>
        </w:rPr>
        <w:t>10</w:t>
      </w:r>
      <w:r w:rsidR="00BA7C1B" w:rsidRPr="00D3628A">
        <w:rPr>
          <w:rFonts w:cs="宋体"/>
          <w:kern w:val="0"/>
          <w:sz w:val="24"/>
        </w:rPr>
        <w:t>00m</w:t>
      </w:r>
      <w:r w:rsidR="00BA7C1B">
        <w:rPr>
          <w:rFonts w:cs="宋体" w:hint="eastAsia"/>
          <w:kern w:val="0"/>
          <w:sz w:val="24"/>
        </w:rPr>
        <w:t>；</w:t>
      </w:r>
      <w:r w:rsidRPr="00D3628A">
        <w:rPr>
          <w:rFonts w:cs="宋体" w:hint="eastAsia"/>
          <w:kern w:val="0"/>
          <w:sz w:val="24"/>
        </w:rPr>
        <w:t>场地周边</w:t>
      </w:r>
      <w:r w:rsidRPr="00D3628A">
        <w:rPr>
          <w:rFonts w:cs="宋体"/>
          <w:kern w:val="0"/>
          <w:sz w:val="24"/>
        </w:rPr>
        <w:t xml:space="preserve">500m </w:t>
      </w:r>
      <w:r w:rsidRPr="00D3628A">
        <w:rPr>
          <w:rFonts w:cs="宋体" w:hint="eastAsia"/>
          <w:kern w:val="0"/>
          <w:sz w:val="24"/>
        </w:rPr>
        <w:t>范围内具有不少于</w:t>
      </w:r>
      <w:r w:rsidRPr="00D3628A">
        <w:rPr>
          <w:rFonts w:cs="宋体"/>
          <w:kern w:val="0"/>
          <w:sz w:val="24"/>
        </w:rPr>
        <w:t xml:space="preserve">3 </w:t>
      </w:r>
      <w:r w:rsidRPr="00D3628A">
        <w:rPr>
          <w:rFonts w:cs="宋体" w:hint="eastAsia"/>
          <w:kern w:val="0"/>
          <w:sz w:val="24"/>
        </w:rPr>
        <w:t>种商业服务设施</w:t>
      </w:r>
      <w:r>
        <w:rPr>
          <w:rFonts w:cs="宋体" w:hint="eastAsia"/>
          <w:kern w:val="0"/>
          <w:sz w:val="24"/>
        </w:rPr>
        <w:t>。满足《四川省民用</w:t>
      </w:r>
      <w:r>
        <w:rPr>
          <w:rFonts w:cs="宋体"/>
          <w:kern w:val="0"/>
          <w:sz w:val="24"/>
        </w:rPr>
        <w:t>绿色建筑设计施工图阶段审查技术要点</w:t>
      </w:r>
      <w:r>
        <w:rPr>
          <w:rFonts w:cs="宋体" w:hint="eastAsia"/>
          <w:kern w:val="0"/>
          <w:sz w:val="24"/>
        </w:rPr>
        <w:t>》</w:t>
      </w:r>
      <w:r w:rsidRPr="008A3018">
        <w:rPr>
          <w:rFonts w:cs="宋体" w:hint="eastAsia"/>
          <w:kern w:val="0"/>
          <w:sz w:val="24"/>
        </w:rPr>
        <w:t>（</w:t>
      </w:r>
      <w:r>
        <w:rPr>
          <w:rFonts w:cs="宋体" w:hint="eastAsia"/>
          <w:kern w:val="0"/>
          <w:sz w:val="24"/>
        </w:rPr>
        <w:t>试行</w:t>
      </w:r>
      <w:r w:rsidRPr="008A3018">
        <w:rPr>
          <w:rFonts w:cs="宋体" w:hint="eastAsia"/>
          <w:kern w:val="0"/>
          <w:sz w:val="24"/>
        </w:rPr>
        <w:t>）</w:t>
      </w:r>
      <w:r>
        <w:rPr>
          <w:rFonts w:cs="宋体" w:hint="eastAsia"/>
          <w:kern w:val="0"/>
          <w:sz w:val="24"/>
        </w:rPr>
        <w:t>中</w:t>
      </w:r>
      <w:r>
        <w:rPr>
          <w:rFonts w:cs="宋体"/>
          <w:kern w:val="0"/>
          <w:sz w:val="24"/>
        </w:rPr>
        <w:t>3</w:t>
      </w:r>
      <w:r>
        <w:rPr>
          <w:rFonts w:cs="宋体" w:hint="eastAsia"/>
          <w:kern w:val="0"/>
          <w:sz w:val="24"/>
        </w:rPr>
        <w:t>.1.</w:t>
      </w:r>
      <w:r>
        <w:rPr>
          <w:rFonts w:cs="宋体"/>
          <w:kern w:val="0"/>
          <w:sz w:val="24"/>
        </w:rPr>
        <w:t>13</w:t>
      </w:r>
      <w:r>
        <w:rPr>
          <w:rFonts w:cs="宋体" w:hint="eastAsia"/>
          <w:kern w:val="0"/>
          <w:sz w:val="24"/>
        </w:rPr>
        <w:t>条要求，可得</w:t>
      </w:r>
      <w:r w:rsidR="008E02B9">
        <w:rPr>
          <w:rFonts w:cs="宋体"/>
          <w:kern w:val="0"/>
          <w:sz w:val="24"/>
        </w:rPr>
        <w:t>5</w:t>
      </w:r>
      <w:r>
        <w:rPr>
          <w:rFonts w:cs="宋体" w:hint="eastAsia"/>
          <w:kern w:val="0"/>
          <w:sz w:val="24"/>
        </w:rPr>
        <w:t>分。</w:t>
      </w:r>
    </w:p>
    <w:p w:rsidR="00D96F95" w:rsidRPr="008E02B9" w:rsidRDefault="008749E8" w:rsidP="008E02B9">
      <w:pPr>
        <w:spacing w:line="360" w:lineRule="auto"/>
        <w:ind w:firstLineChars="200" w:firstLine="480"/>
        <w:jc w:val="left"/>
        <w:rPr>
          <w:rFonts w:cs="宋体" w:hint="eastAsia"/>
          <w:kern w:val="0"/>
          <w:sz w:val="24"/>
        </w:rPr>
      </w:pPr>
      <w:r>
        <w:rPr>
          <w:rFonts w:cs="宋体" w:hint="eastAsia"/>
          <w:kern w:val="0"/>
          <w:sz w:val="24"/>
        </w:rPr>
        <w:t>因</w:t>
      </w:r>
      <w:r w:rsidRPr="00D3628A">
        <w:rPr>
          <w:rFonts w:cs="宋体" w:hint="eastAsia"/>
          <w:kern w:val="0"/>
          <w:sz w:val="24"/>
        </w:rPr>
        <w:t>场地出入口到达中型多功能运动场地的步行距离不大于</w:t>
      </w:r>
      <w:r w:rsidRPr="00D3628A">
        <w:rPr>
          <w:rFonts w:cs="宋体"/>
          <w:kern w:val="0"/>
          <w:sz w:val="24"/>
        </w:rPr>
        <w:t xml:space="preserve"> 500m</w:t>
      </w:r>
      <w:r w:rsidRPr="00D3628A">
        <w:rPr>
          <w:rFonts w:cs="宋体" w:hint="eastAsia"/>
          <w:kern w:val="0"/>
          <w:sz w:val="24"/>
        </w:rPr>
        <w:t>，</w:t>
      </w:r>
      <w:r>
        <w:rPr>
          <w:rFonts w:cs="宋体" w:hint="eastAsia"/>
          <w:kern w:val="0"/>
          <w:sz w:val="24"/>
        </w:rPr>
        <w:t>满足《四川省民用</w:t>
      </w:r>
      <w:r>
        <w:rPr>
          <w:rFonts w:cs="宋体"/>
          <w:kern w:val="0"/>
          <w:sz w:val="24"/>
        </w:rPr>
        <w:t>绿色建筑设计施工图阶段审查技术要点</w:t>
      </w:r>
      <w:r>
        <w:rPr>
          <w:rFonts w:cs="宋体" w:hint="eastAsia"/>
          <w:kern w:val="0"/>
          <w:sz w:val="24"/>
        </w:rPr>
        <w:t>》</w:t>
      </w:r>
      <w:r w:rsidRPr="008A3018">
        <w:rPr>
          <w:rFonts w:cs="宋体" w:hint="eastAsia"/>
          <w:kern w:val="0"/>
          <w:sz w:val="24"/>
        </w:rPr>
        <w:t>（</w:t>
      </w:r>
      <w:r>
        <w:rPr>
          <w:rFonts w:cs="宋体" w:hint="eastAsia"/>
          <w:kern w:val="0"/>
          <w:sz w:val="24"/>
        </w:rPr>
        <w:t>试行</w:t>
      </w:r>
      <w:r w:rsidRPr="008A3018">
        <w:rPr>
          <w:rFonts w:cs="宋体" w:hint="eastAsia"/>
          <w:kern w:val="0"/>
          <w:sz w:val="24"/>
        </w:rPr>
        <w:t>）</w:t>
      </w:r>
      <w:r>
        <w:rPr>
          <w:rFonts w:cs="宋体" w:hint="eastAsia"/>
          <w:kern w:val="0"/>
          <w:sz w:val="24"/>
        </w:rPr>
        <w:t>中</w:t>
      </w:r>
      <w:r>
        <w:rPr>
          <w:rFonts w:cs="宋体"/>
          <w:kern w:val="0"/>
          <w:sz w:val="24"/>
        </w:rPr>
        <w:t>3</w:t>
      </w:r>
      <w:r>
        <w:rPr>
          <w:rFonts w:cs="宋体" w:hint="eastAsia"/>
          <w:kern w:val="0"/>
          <w:sz w:val="24"/>
        </w:rPr>
        <w:t>.1.</w:t>
      </w:r>
      <w:r>
        <w:rPr>
          <w:rFonts w:cs="宋体"/>
          <w:kern w:val="0"/>
          <w:sz w:val="24"/>
        </w:rPr>
        <w:t>14</w:t>
      </w:r>
      <w:r>
        <w:rPr>
          <w:rFonts w:cs="宋体" w:hint="eastAsia"/>
          <w:kern w:val="0"/>
          <w:sz w:val="24"/>
        </w:rPr>
        <w:t>条要求，可得</w:t>
      </w:r>
      <w:r w:rsidR="00BA7C1B">
        <w:rPr>
          <w:rFonts w:cs="宋体" w:hint="eastAsia"/>
          <w:kern w:val="0"/>
          <w:sz w:val="24"/>
        </w:rPr>
        <w:t>2</w:t>
      </w:r>
      <w:r>
        <w:rPr>
          <w:rFonts w:cs="宋体" w:hint="eastAsia"/>
          <w:kern w:val="0"/>
          <w:sz w:val="24"/>
        </w:rPr>
        <w:t>分。</w:t>
      </w:r>
      <w:bookmarkStart w:id="9" w:name="_GoBack"/>
      <w:bookmarkEnd w:id="9"/>
    </w:p>
    <w:sectPr w:rsidR="00D96F95" w:rsidRPr="008E02B9" w:rsidSect="0061799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pgNumType w:start="1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56A0" w:rsidRDefault="00F956A0">
      <w:r>
        <w:separator/>
      </w:r>
    </w:p>
  </w:endnote>
  <w:endnote w:type="continuationSeparator" w:id="0">
    <w:p w:rsidR="00F956A0" w:rsidRDefault="00F95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6D2" w:rsidRDefault="003106D2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8E02B9" w:rsidRPr="008E02B9">
      <w:rPr>
        <w:noProof/>
        <w:lang w:val="zh-CN"/>
      </w:rPr>
      <w:t>2</w:t>
    </w:r>
    <w:r>
      <w:fldChar w:fldCharType="end"/>
    </w:r>
  </w:p>
  <w:p w:rsidR="003106D2" w:rsidRDefault="003106D2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6D2" w:rsidRDefault="003106D2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8E02B9" w:rsidRPr="008E02B9">
      <w:rPr>
        <w:noProof/>
        <w:lang w:val="zh-CN"/>
      </w:rPr>
      <w:t>1</w:t>
    </w:r>
    <w:r>
      <w:fldChar w:fldCharType="end"/>
    </w:r>
  </w:p>
  <w:p w:rsidR="003106D2" w:rsidRDefault="003106D2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56A0" w:rsidRDefault="00F956A0">
      <w:r>
        <w:separator/>
      </w:r>
    </w:p>
  </w:footnote>
  <w:footnote w:type="continuationSeparator" w:id="0">
    <w:p w:rsidR="00F956A0" w:rsidRDefault="00F956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6D2" w:rsidRPr="00C53807" w:rsidRDefault="003106D2" w:rsidP="00617991">
    <w:pPr>
      <w:pStyle w:val="a6"/>
    </w:pPr>
    <w:r>
      <w:rPr>
        <w:rFonts w:hint="eastAsia"/>
      </w:rPr>
      <w:t>交通及公共服务配套设施分析图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6D2" w:rsidRDefault="003106D2">
    <w:pPr>
      <w:pStyle w:val="a6"/>
    </w:pPr>
    <w:r>
      <w:rPr>
        <w:rFonts w:hint="eastAsia"/>
      </w:rPr>
      <w:t>场地周边</w:t>
    </w:r>
    <w:r>
      <w:t>公共交通设施布局平面图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B75DD3"/>
    <w:multiLevelType w:val="hybridMultilevel"/>
    <w:tmpl w:val="B49E8BE6"/>
    <w:lvl w:ilvl="0" w:tplc="6A9AFC66">
      <w:start w:val="1"/>
      <w:numFmt w:val="japaneseCounting"/>
      <w:pStyle w:val="1"/>
      <w:lvlText w:val="%1、"/>
      <w:lvlJc w:val="left"/>
      <w:pPr>
        <w:ind w:left="660" w:hanging="6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9E8"/>
    <w:rsid w:val="000319AB"/>
    <w:rsid w:val="000F647D"/>
    <w:rsid w:val="00142715"/>
    <w:rsid w:val="0018506F"/>
    <w:rsid w:val="001A1BD8"/>
    <w:rsid w:val="001C30E2"/>
    <w:rsid w:val="002D5D1D"/>
    <w:rsid w:val="003106D2"/>
    <w:rsid w:val="00405797"/>
    <w:rsid w:val="0054490F"/>
    <w:rsid w:val="00617991"/>
    <w:rsid w:val="006B6ACD"/>
    <w:rsid w:val="006D1A12"/>
    <w:rsid w:val="00706035"/>
    <w:rsid w:val="007B00CC"/>
    <w:rsid w:val="0081238F"/>
    <w:rsid w:val="008749E8"/>
    <w:rsid w:val="008E02B9"/>
    <w:rsid w:val="009474C5"/>
    <w:rsid w:val="00964C3A"/>
    <w:rsid w:val="00A701A5"/>
    <w:rsid w:val="00A75982"/>
    <w:rsid w:val="00AF4501"/>
    <w:rsid w:val="00BA7C1B"/>
    <w:rsid w:val="00CE1F8D"/>
    <w:rsid w:val="00D75F8B"/>
    <w:rsid w:val="00D96F95"/>
    <w:rsid w:val="00DF3FCB"/>
    <w:rsid w:val="00E90063"/>
    <w:rsid w:val="00ED487E"/>
    <w:rsid w:val="00F956A0"/>
    <w:rsid w:val="00FE3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F02797"/>
  <w15:chartTrackingRefBased/>
  <w15:docId w15:val="{9291EF76-197D-4B86-BB79-ACCBC1195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49E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next w:val="a0"/>
    <w:link w:val="11"/>
    <w:autoRedefine/>
    <w:qFormat/>
    <w:rsid w:val="008749E8"/>
    <w:pPr>
      <w:keepNext/>
      <w:numPr>
        <w:numId w:val="1"/>
      </w:numPr>
      <w:kinsoku w:val="0"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32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basedOn w:val="a1"/>
    <w:uiPriority w:val="9"/>
    <w:rsid w:val="008749E8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4">
    <w:name w:val="footer"/>
    <w:basedOn w:val="a"/>
    <w:link w:val="12"/>
    <w:rsid w:val="008749E8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character" w:customStyle="1" w:styleId="a5">
    <w:name w:val="页脚 字符"/>
    <w:basedOn w:val="a1"/>
    <w:uiPriority w:val="99"/>
    <w:semiHidden/>
    <w:rsid w:val="008749E8"/>
    <w:rPr>
      <w:rFonts w:ascii="Times New Roman" w:eastAsia="宋体" w:hAnsi="Times New Roman" w:cs="Times New Roman"/>
      <w:sz w:val="18"/>
      <w:szCs w:val="18"/>
    </w:rPr>
  </w:style>
  <w:style w:type="paragraph" w:styleId="a6">
    <w:name w:val="header"/>
    <w:basedOn w:val="a"/>
    <w:link w:val="a7"/>
    <w:rsid w:val="008749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1"/>
    <w:link w:val="a6"/>
    <w:rsid w:val="008749E8"/>
    <w:rPr>
      <w:rFonts w:ascii="Times New Roman" w:eastAsia="宋体" w:hAnsi="Times New Roman" w:cs="Times New Roman"/>
      <w:sz w:val="18"/>
      <w:szCs w:val="18"/>
    </w:rPr>
  </w:style>
  <w:style w:type="character" w:customStyle="1" w:styleId="12">
    <w:name w:val="页脚 字符1"/>
    <w:link w:val="a4"/>
    <w:rsid w:val="008749E8"/>
    <w:rPr>
      <w:rFonts w:ascii="Times New Roman" w:eastAsia="宋体" w:hAnsi="Times New Roman" w:cs="Times New Roman"/>
      <w:sz w:val="18"/>
      <w:szCs w:val="18"/>
      <w:lang w:val="x-none" w:eastAsia="x-none"/>
    </w:rPr>
  </w:style>
  <w:style w:type="character" w:customStyle="1" w:styleId="11">
    <w:name w:val="标题 1 字符1"/>
    <w:link w:val="1"/>
    <w:rsid w:val="008749E8"/>
    <w:rPr>
      <w:rFonts w:ascii="Times New Roman" w:eastAsia="宋体" w:hAnsi="Times New Roman" w:cs="Times New Roman"/>
      <w:b/>
      <w:bCs/>
      <w:kern w:val="32"/>
      <w:sz w:val="32"/>
      <w:szCs w:val="32"/>
    </w:rPr>
  </w:style>
  <w:style w:type="paragraph" w:styleId="a0">
    <w:name w:val="Block Text"/>
    <w:basedOn w:val="a"/>
    <w:unhideWhenUsed/>
    <w:rsid w:val="008749E8"/>
    <w:pPr>
      <w:spacing w:after="120"/>
      <w:ind w:leftChars="700" w:left="1440" w:rightChars="700" w:right="1440"/>
    </w:pPr>
  </w:style>
  <w:style w:type="paragraph" w:customStyle="1" w:styleId="TableParagraph">
    <w:name w:val="Table Paragraph"/>
    <w:basedOn w:val="a"/>
    <w:uiPriority w:val="1"/>
    <w:qFormat/>
    <w:rsid w:val="009474C5"/>
    <w:pPr>
      <w:autoSpaceDE w:val="0"/>
      <w:autoSpaceDN w:val="0"/>
      <w:jc w:val="left"/>
    </w:pPr>
    <w:rPr>
      <w:rFonts w:ascii="宋体" w:hAnsi="宋体" w:cs="宋体"/>
      <w:kern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904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1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60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462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765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362177">
                  <w:marLeft w:val="0"/>
                  <w:marRight w:val="0"/>
                  <w:marTop w:val="0"/>
                  <w:marBottom w:val="0"/>
                  <w:divBdr>
                    <w:top w:val="single" w:sz="6" w:space="0" w:color="F4F4D3"/>
                    <w:left w:val="single" w:sz="6" w:space="0" w:color="F4F4D3"/>
                    <w:bottom w:val="single" w:sz="6" w:space="0" w:color="F4F4D3"/>
                    <w:right w:val="single" w:sz="6" w:space="0" w:color="F4F4D3"/>
                  </w:divBdr>
                </w:div>
              </w:divsChild>
            </w:div>
          </w:divsChild>
        </w:div>
        <w:div w:id="190921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4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063725">
                  <w:marLeft w:val="0"/>
                  <w:marRight w:val="0"/>
                  <w:marTop w:val="0"/>
                  <w:marBottom w:val="0"/>
                  <w:divBdr>
                    <w:top w:val="single" w:sz="6" w:space="0" w:color="F4F3D4"/>
                    <w:left w:val="single" w:sz="6" w:space="0" w:color="F4F3D4"/>
                    <w:bottom w:val="single" w:sz="6" w:space="0" w:color="F4F3D4"/>
                    <w:right w:val="single" w:sz="6" w:space="0" w:color="F4F3D4"/>
                  </w:divBdr>
                </w:div>
              </w:divsChild>
            </w:div>
            <w:div w:id="1793401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798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8363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184385">
                  <w:marLeft w:val="0"/>
                  <w:marRight w:val="0"/>
                  <w:marTop w:val="150"/>
                  <w:marBottom w:val="0"/>
                  <w:divBdr>
                    <w:top w:val="single" w:sz="6" w:space="0" w:color="F2F5F8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929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114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72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8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084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751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2829227">
                              <w:marLeft w:val="225"/>
                              <w:marRight w:val="0"/>
                              <w:marTop w:val="19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328</TotalTime>
  <Pages>2</Pages>
  <Words>138</Words>
  <Characters>792</Characters>
  <Application>Microsoft Office Word</Application>
  <DocSecurity>0</DocSecurity>
  <Lines>6</Lines>
  <Paragraphs>1</Paragraphs>
  <ScaleCrop>false</ScaleCrop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彭博(六公司建筑)</dc:creator>
  <cp:keywords/>
  <dc:description/>
  <cp:lastModifiedBy>彭博(六公司建筑)</cp:lastModifiedBy>
  <cp:revision>16</cp:revision>
  <dcterms:created xsi:type="dcterms:W3CDTF">2021-08-18T07:31:00Z</dcterms:created>
  <dcterms:modified xsi:type="dcterms:W3CDTF">2021-12-29T07:15:00Z</dcterms:modified>
</cp:coreProperties>
</file>