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276" w:lineRule="auto"/>
        <w:jc w:val="center"/>
        <w:rPr>
          <w:rFonts w:ascii="黑体" w:hAnsi="宋体" w:eastAsia="黑体"/>
          <w:b/>
          <w:bCs/>
          <w:sz w:val="72"/>
          <w:szCs w:val="72"/>
        </w:rPr>
      </w:pPr>
    </w:p>
    <w:p>
      <w:pPr>
        <w:spacing w:before="312" w:beforeLines="100" w:line="276" w:lineRule="auto"/>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276" w:lineRule="auto"/>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r>
              <w:t>启新C-02地块项目</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r>
              <w:t>MJ401</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r>
              <w:t>北京建都设计研究院</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9525" b="9525"/>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7"/>
                    <a:stretch>
                      <a:fillRect/>
                    </a:stretch>
                  </pic:blipFill>
                  <pic:spPr>
                    <a:xfrm>
                      <a:off x="0" y="0"/>
                      <a:ext cx="1514475" cy="1514475"/>
                    </a:xfrm>
                    <a:prstGeom prst="rect">
                      <a:avLst/>
                    </a:prstGeom>
                  </pic:spPr>
                </pic:pic>
              </a:graphicData>
            </a:graphic>
          </wp:inline>
        </w:drawing>
      </w:r>
      <w:r>
        <w:drawing>
          <wp:inline distT="0" distB="0" distL="0" distR="0">
            <wp:extent cx="1514475" cy="15144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建筑声环境SEDU2022</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21"/>
              </w:rPr>
            </w:pPr>
            <w:bookmarkStart w:id="6" w:name="软件版本"/>
            <w:r>
              <w:rPr>
                <w:rFonts w:hint="eastAsia"/>
                <w:szCs w:val="21"/>
              </w:rPr>
              <w:t>20210808（SP1）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P182EFA37</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_Toc16998 </w:instrText>
      </w:r>
      <w:r>
        <w:rPr>
          <w:rFonts w:ascii="宋体" w:hAnsi="宋体"/>
          <w:caps/>
        </w:rPr>
        <w:fldChar w:fldCharType="separate"/>
      </w:r>
      <w:r>
        <w:rPr>
          <w:rFonts w:hint="default" w:ascii="Times New Roman" w:hAnsi="Times New Roman"/>
          <w:szCs w:val="28"/>
        </w:rPr>
        <w:t xml:space="preserve">1. </w:t>
      </w:r>
      <w:r>
        <w:rPr>
          <w:rFonts w:hint="eastAsia" w:ascii="Times New Roman" w:hAnsi="Times New Roman"/>
          <w:szCs w:val="28"/>
        </w:rPr>
        <w:t>项目概况</w:t>
      </w:r>
      <w:r>
        <w:tab/>
      </w:r>
      <w:r>
        <w:fldChar w:fldCharType="begin"/>
      </w:r>
      <w:r>
        <w:instrText xml:space="preserve"> PAGEREF _Toc16998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_Toc3487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_Toc3487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_Toc10197 </w:instrText>
      </w:r>
      <w:r>
        <w:fldChar w:fldCharType="separate"/>
      </w:r>
      <w:r>
        <w:rPr>
          <w:rFonts w:hint="eastAsia"/>
          <w:szCs w:val="24"/>
        </w:rPr>
        <w:t>2.1评价</w:t>
      </w:r>
      <w:r>
        <w:rPr>
          <w:szCs w:val="24"/>
        </w:rPr>
        <w:t>依据</w:t>
      </w:r>
      <w:r>
        <w:tab/>
      </w:r>
      <w:r>
        <w:fldChar w:fldCharType="begin"/>
      </w:r>
      <w:r>
        <w:instrText xml:space="preserve"> PAGEREF _Toc10197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_Toc3910 </w:instrText>
      </w:r>
      <w:r>
        <w:fldChar w:fldCharType="separate"/>
      </w:r>
      <w:r>
        <w:rPr>
          <w:rFonts w:hint="eastAsia"/>
          <w:szCs w:val="24"/>
        </w:rPr>
        <w:t>2.2标准</w:t>
      </w:r>
      <w:r>
        <w:rPr>
          <w:szCs w:val="24"/>
        </w:rPr>
        <w:t>要求</w:t>
      </w:r>
      <w:r>
        <w:tab/>
      </w:r>
      <w:r>
        <w:fldChar w:fldCharType="begin"/>
      </w:r>
      <w:r>
        <w:instrText xml:space="preserve"> PAGEREF _Toc3910 \h </w:instrText>
      </w:r>
      <w:r>
        <w:fldChar w:fldCharType="separate"/>
      </w:r>
      <w:r>
        <w:t>4</w:t>
      </w:r>
      <w:r>
        <w:fldChar w:fldCharType="end"/>
      </w:r>
      <w:r>
        <w:fldChar w:fldCharType="end"/>
      </w:r>
    </w:p>
    <w:p>
      <w:pPr>
        <w:pStyle w:val="12"/>
        <w:tabs>
          <w:tab w:val="right" w:leader="dot" w:pos="9070"/>
          <w:tab w:val="clear" w:pos="180"/>
          <w:tab w:val="clear" w:pos="9360"/>
        </w:tabs>
      </w:pPr>
      <w:r>
        <w:fldChar w:fldCharType="begin"/>
      </w:r>
      <w:r>
        <w:instrText xml:space="preserve"> HYPERLINK \l _Toc31142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_Toc31142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_Toc20380 </w:instrText>
      </w:r>
      <w:r>
        <w:fldChar w:fldCharType="separate"/>
      </w:r>
      <w:r>
        <w:rPr>
          <w:rFonts w:hint="eastAsia"/>
          <w:szCs w:val="24"/>
        </w:rPr>
        <w:t>3.1模拟软件</w:t>
      </w:r>
      <w:r>
        <w:tab/>
      </w:r>
      <w:r>
        <w:fldChar w:fldCharType="begin"/>
      </w:r>
      <w:r>
        <w:instrText xml:space="preserve"> PAGEREF _Toc20380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_Toc26861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_Toc26861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_Toc31757 </w:instrText>
      </w:r>
      <w:r>
        <w:fldChar w:fldCharType="separate"/>
      </w:r>
      <w:r>
        <w:rPr>
          <w:szCs w:val="24"/>
        </w:rPr>
        <w:t>3.3</w:t>
      </w:r>
      <w:r>
        <w:rPr>
          <w:rFonts w:hint="eastAsia"/>
          <w:szCs w:val="24"/>
        </w:rPr>
        <w:t>声</w:t>
      </w:r>
      <w:r>
        <w:rPr>
          <w:szCs w:val="24"/>
        </w:rPr>
        <w:t>功能区划分</w:t>
      </w:r>
      <w:r>
        <w:tab/>
      </w:r>
      <w:r>
        <w:fldChar w:fldCharType="begin"/>
      </w:r>
      <w:r>
        <w:instrText xml:space="preserve"> PAGEREF _Toc31757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_Toc21348 </w:instrText>
      </w:r>
      <w:r>
        <w:fldChar w:fldCharType="separate"/>
      </w:r>
      <w:r>
        <w:rPr>
          <w:rFonts w:hint="eastAsia"/>
          <w:szCs w:val="24"/>
        </w:rPr>
        <w:t>3.4 计算条件</w:t>
      </w:r>
      <w:r>
        <w:tab/>
      </w:r>
      <w:r>
        <w:fldChar w:fldCharType="begin"/>
      </w:r>
      <w:r>
        <w:instrText xml:space="preserve"> PAGEREF _Toc21348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_Toc20840 </w:instrText>
      </w:r>
      <w:r>
        <w:fldChar w:fldCharType="separate"/>
      </w:r>
      <w:r>
        <w:rPr>
          <w:rFonts w:hint="eastAsia"/>
          <w:szCs w:val="24"/>
        </w:rPr>
        <w:t>3.5参数</w:t>
      </w:r>
      <w:r>
        <w:rPr>
          <w:szCs w:val="24"/>
        </w:rPr>
        <w:t>设置</w:t>
      </w:r>
      <w:r>
        <w:tab/>
      </w:r>
      <w:r>
        <w:fldChar w:fldCharType="begin"/>
      </w:r>
      <w:r>
        <w:instrText xml:space="preserve"> PAGEREF _Toc20840 \h </w:instrText>
      </w:r>
      <w:r>
        <w:fldChar w:fldCharType="separate"/>
      </w:r>
      <w:r>
        <w:t>8</w:t>
      </w:r>
      <w:r>
        <w:fldChar w:fldCharType="end"/>
      </w:r>
      <w:r>
        <w:fldChar w:fldCharType="end"/>
      </w:r>
    </w:p>
    <w:p>
      <w:pPr>
        <w:pStyle w:val="12"/>
        <w:tabs>
          <w:tab w:val="right" w:leader="dot" w:pos="9070"/>
          <w:tab w:val="clear" w:pos="180"/>
          <w:tab w:val="clear" w:pos="9360"/>
        </w:tabs>
      </w:pPr>
      <w:r>
        <w:fldChar w:fldCharType="begin"/>
      </w:r>
      <w:r>
        <w:instrText xml:space="preserve"> HYPERLINK \l _Toc26802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_Toc26802 \h </w:instrText>
      </w:r>
      <w:r>
        <w:fldChar w:fldCharType="separate"/>
      </w:r>
      <w:r>
        <w:t>8</w:t>
      </w:r>
      <w:r>
        <w:fldChar w:fldCharType="end"/>
      </w:r>
      <w:r>
        <w:fldChar w:fldCharType="end"/>
      </w:r>
    </w:p>
    <w:p>
      <w:pPr>
        <w:pStyle w:val="13"/>
        <w:tabs>
          <w:tab w:val="right" w:leader="dot" w:pos="9070"/>
          <w:tab w:val="clear" w:pos="540"/>
          <w:tab w:val="clear" w:pos="9360"/>
        </w:tabs>
      </w:pPr>
      <w:r>
        <w:fldChar w:fldCharType="begin"/>
      </w:r>
      <w:r>
        <w:instrText xml:space="preserve"> HYPERLINK \l _Toc22146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_Toc22146 \h </w:instrText>
      </w:r>
      <w:r>
        <w:fldChar w:fldCharType="separate"/>
      </w:r>
      <w:r>
        <w:t>8</w:t>
      </w:r>
      <w:r>
        <w:fldChar w:fldCharType="end"/>
      </w:r>
      <w:r>
        <w:fldChar w:fldCharType="end"/>
      </w:r>
    </w:p>
    <w:p>
      <w:pPr>
        <w:pStyle w:val="13"/>
        <w:tabs>
          <w:tab w:val="right" w:leader="dot" w:pos="9070"/>
          <w:tab w:val="clear" w:pos="540"/>
          <w:tab w:val="clear" w:pos="9360"/>
        </w:tabs>
      </w:pPr>
      <w:r>
        <w:fldChar w:fldCharType="begin"/>
      </w:r>
      <w:r>
        <w:instrText xml:space="preserve"> HYPERLINK \l _Toc31481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_Toc31481 \h </w:instrText>
      </w:r>
      <w:r>
        <w:fldChar w:fldCharType="separate"/>
      </w:r>
      <w:r>
        <w:t>12</w:t>
      </w:r>
      <w:r>
        <w:fldChar w:fldCharType="end"/>
      </w:r>
      <w:r>
        <w:fldChar w:fldCharType="end"/>
      </w:r>
    </w:p>
    <w:p>
      <w:pPr>
        <w:pStyle w:val="12"/>
        <w:tabs>
          <w:tab w:val="right" w:leader="dot" w:pos="9070"/>
          <w:tab w:val="clear" w:pos="180"/>
          <w:tab w:val="clear" w:pos="9360"/>
        </w:tabs>
      </w:pPr>
      <w:r>
        <w:fldChar w:fldCharType="begin"/>
      </w:r>
      <w:r>
        <w:instrText xml:space="preserve"> HYPERLINK \l _Toc26895 </w:instrText>
      </w:r>
      <w:r>
        <w:fldChar w:fldCharType="separate"/>
      </w:r>
      <w:r>
        <w:rPr>
          <w:rFonts w:hint="eastAsia" w:ascii="Times New Roman" w:hAnsi="Times New Roman"/>
          <w:szCs w:val="28"/>
        </w:rPr>
        <w:t>5.结论</w:t>
      </w:r>
      <w:r>
        <w:tab/>
      </w:r>
      <w:r>
        <w:fldChar w:fldCharType="begin"/>
      </w:r>
      <w:r>
        <w:instrText xml:space="preserve"> PAGEREF _Toc26895 \h </w:instrText>
      </w:r>
      <w:r>
        <w:fldChar w:fldCharType="separate"/>
      </w:r>
      <w:r>
        <w:t>16</w:t>
      </w:r>
      <w:r>
        <w:fldChar w:fldCharType="end"/>
      </w:r>
      <w:r>
        <w:fldChar w:fldCharType="end"/>
      </w:r>
    </w:p>
    <w:p>
      <w:pPr>
        <w:pStyle w:val="12"/>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8"/>
    </w:p>
    <w:p>
      <w:pPr>
        <w:pStyle w:val="2"/>
        <w:numPr>
          <w:ilvl w:val="0"/>
          <w:numId w:val="1"/>
        </w:numPr>
        <w:rPr>
          <w:rFonts w:ascii="Times New Roman" w:hAnsi="Times New Roman"/>
          <w:sz w:val="28"/>
          <w:szCs w:val="28"/>
        </w:rPr>
      </w:pPr>
      <w:bookmarkStart w:id="9" w:name="_Toc479326717"/>
      <w:bookmarkStart w:id="10" w:name="_Toc16998"/>
      <w:r>
        <w:rPr>
          <w:rFonts w:hint="eastAsia" w:ascii="Times New Roman" w:hAnsi="Times New Roman"/>
          <w:sz w:val="28"/>
          <w:szCs w:val="28"/>
        </w:rPr>
        <w:t>项目概况</w:t>
      </w:r>
      <w:bookmarkEnd w:id="9"/>
      <w:bookmarkEnd w:id="10"/>
    </w:p>
    <w:p>
      <w:pPr>
        <w:pStyle w:val="25"/>
        <w:ind w:left="360" w:firstLine="0" w:firstLineChars="0"/>
      </w:pPr>
      <w:r>
        <w:rPr>
          <w:rFonts w:hint="eastAsia"/>
        </w:rPr>
        <w:t>本项目中参与噪声计算</w:t>
      </w:r>
      <w:r>
        <w:t>的</w:t>
      </w:r>
      <w:r>
        <w:rPr>
          <w:rFonts w:hint="eastAsia"/>
        </w:rPr>
        <w:t>建筑信息如下表所示：</w:t>
      </w:r>
    </w:p>
    <w:p>
      <w:pPr>
        <w:widowControl/>
        <w:jc w:val="center"/>
        <w:rPr>
          <w:rFonts w:ascii="黑体" w:hAnsi="黑体" w:eastAsia="黑体"/>
          <w:kern w:val="0"/>
          <w:szCs w:val="20"/>
        </w:rPr>
      </w:pPr>
      <w:r>
        <w:rPr>
          <w:rFonts w:hint="eastAsia" w:ascii="黑体" w:hAnsi="黑体" w:eastAsia="黑体"/>
          <w:kern w:val="0"/>
          <w:szCs w:val="20"/>
        </w:rPr>
        <w:t>表1</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名称</w:t>
            </w:r>
          </w:p>
        </w:tc>
        <w:tc>
          <w:tcPr>
            <w:shd w:val="clear" w:color="auto" w:fill="E6E6E6"/>
            <w:vAlign w:val="center"/>
          </w:tcPr>
          <w:p>
            <w:pPr>
              <w:jc w:val="center"/>
            </w:pPr>
            <w:r>
              <w:t>建筑高度(米)</w:t>
            </w:r>
          </w:p>
        </w:tc>
        <w:tc>
          <w:tcPr>
            <w:shd w:val="clear" w:color="auto" w:fill="E6E6E6"/>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201</w:t>
            </w:r>
          </w:p>
        </w:tc>
        <w:tc>
          <w:tcPr>
            <w:vAlign w:val="center"/>
          </w:tcPr>
          <w:p>
            <w:pPr>
              <w:jc w:val="center"/>
            </w:pPr>
            <w:r>
              <w:t>65.0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202</w:t>
            </w:r>
          </w:p>
        </w:tc>
        <w:tc>
          <w:tcPr>
            <w:vAlign w:val="center"/>
          </w:tcPr>
          <w:p>
            <w:pPr>
              <w:jc w:val="center"/>
            </w:pPr>
            <w:r>
              <w:t>65.5</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203-R</w:t>
            </w:r>
          </w:p>
        </w:tc>
        <w:tc>
          <w:tcPr>
            <w:vAlign w:val="center"/>
          </w:tcPr>
          <w:p>
            <w:pPr>
              <w:jc w:val="center"/>
            </w:pPr>
            <w:r>
              <w:t>12.5</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203住宅</w:t>
            </w:r>
          </w:p>
        </w:tc>
        <w:tc>
          <w:tcPr>
            <w:vAlign w:val="center"/>
          </w:tcPr>
          <w:p>
            <w:pPr>
              <w:jc w:val="center"/>
            </w:pPr>
            <w:r>
              <w:t>53.1</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203公建</w:t>
            </w:r>
          </w:p>
        </w:tc>
        <w:tc>
          <w:tcPr>
            <w:vAlign w:val="center"/>
          </w:tcPr>
          <w:p>
            <w:pPr>
              <w:jc w:val="center"/>
            </w:pPr>
            <w:r>
              <w:t>6.7</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204</w:t>
            </w:r>
          </w:p>
        </w:tc>
        <w:tc>
          <w:tcPr>
            <w:vAlign w:val="center"/>
          </w:tcPr>
          <w:p>
            <w:pPr>
              <w:jc w:val="center"/>
            </w:pPr>
            <w:r>
              <w:t>60.8</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205</w:t>
            </w:r>
          </w:p>
        </w:tc>
        <w:tc>
          <w:tcPr>
            <w:vAlign w:val="center"/>
          </w:tcPr>
          <w:p>
            <w:pPr>
              <w:jc w:val="center"/>
            </w:pPr>
            <w:r>
              <w:t>59.6</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206</w:t>
            </w:r>
          </w:p>
        </w:tc>
        <w:tc>
          <w:tcPr>
            <w:vAlign w:val="center"/>
          </w:tcPr>
          <w:p>
            <w:pPr>
              <w:jc w:val="center"/>
            </w:pPr>
            <w:r>
              <w:t>60.0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207</w:t>
            </w:r>
          </w:p>
        </w:tc>
        <w:tc>
          <w:tcPr>
            <w:vAlign w:val="center"/>
          </w:tcPr>
          <w:p>
            <w:pPr>
              <w:jc w:val="center"/>
            </w:pPr>
            <w:r>
              <w:t>60.8</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208</w:t>
            </w:r>
          </w:p>
        </w:tc>
        <w:tc>
          <w:tcPr>
            <w:vAlign w:val="center"/>
          </w:tcPr>
          <w:p>
            <w:pPr>
              <w:jc w:val="center"/>
            </w:pPr>
            <w:r>
              <w:t>60.8</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209</w:t>
            </w:r>
          </w:p>
        </w:tc>
        <w:tc>
          <w:tcPr>
            <w:vAlign w:val="center"/>
          </w:tcPr>
          <w:p>
            <w:pPr>
              <w:jc w:val="center"/>
            </w:pPr>
            <w:r>
              <w:t>60.8</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210</w:t>
            </w:r>
          </w:p>
        </w:tc>
        <w:tc>
          <w:tcPr>
            <w:vAlign w:val="center"/>
          </w:tcPr>
          <w:p>
            <w:pPr>
              <w:jc w:val="center"/>
            </w:pPr>
            <w:r>
              <w:t>65.0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211</w:t>
            </w:r>
          </w:p>
        </w:tc>
        <w:tc>
          <w:tcPr>
            <w:vAlign w:val="center"/>
          </w:tcPr>
          <w:p>
            <w:pPr>
              <w:jc w:val="center"/>
            </w:pPr>
            <w:r>
              <w:t>60.0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212</w:t>
            </w:r>
          </w:p>
        </w:tc>
        <w:tc>
          <w:tcPr>
            <w:vAlign w:val="center"/>
          </w:tcPr>
          <w:p>
            <w:pPr>
              <w:jc w:val="center"/>
            </w:pPr>
            <w:r>
              <w:t>65.0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C-03-01</w:t>
            </w:r>
          </w:p>
        </w:tc>
        <w:tc>
          <w:tcPr>
            <w:vAlign w:val="center"/>
          </w:tcPr>
          <w:p>
            <w:pPr>
              <w:jc w:val="center"/>
            </w:pPr>
            <w:r>
              <w:t>53.9</w:t>
            </w:r>
          </w:p>
        </w:tc>
        <w:tc>
          <w:tcPr>
            <w:vAlign w:val="center"/>
          </w:tcPr>
          <w:p>
            <w:pPr>
              <w:jc w:val="center"/>
            </w:pPr>
            <w:r>
              <w:t>3.55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C-03-02</w:t>
            </w:r>
          </w:p>
        </w:tc>
        <w:tc>
          <w:tcPr>
            <w:vAlign w:val="center"/>
          </w:tcPr>
          <w:p>
            <w:pPr>
              <w:jc w:val="center"/>
            </w:pPr>
            <w:r>
              <w:t>53.9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C-03-03</w:t>
            </w:r>
          </w:p>
        </w:tc>
        <w:tc>
          <w:tcPr>
            <w:vAlign w:val="center"/>
          </w:tcPr>
          <w:p>
            <w:pPr>
              <w:jc w:val="center"/>
            </w:pPr>
            <w:r>
              <w:t>53.9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C-03-04</w:t>
            </w:r>
          </w:p>
        </w:tc>
        <w:tc>
          <w:tcPr>
            <w:vAlign w:val="center"/>
          </w:tcPr>
          <w:p>
            <w:pPr>
              <w:jc w:val="center"/>
            </w:pPr>
            <w:r>
              <w:t>53.9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C-03-05</w:t>
            </w:r>
          </w:p>
        </w:tc>
        <w:tc>
          <w:tcPr>
            <w:vAlign w:val="center"/>
          </w:tcPr>
          <w:p>
            <w:pPr>
              <w:jc w:val="center"/>
            </w:pPr>
            <w:r>
              <w:t>53.9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C-03-06</w:t>
            </w:r>
          </w:p>
        </w:tc>
        <w:tc>
          <w:tcPr>
            <w:vAlign w:val="center"/>
          </w:tcPr>
          <w:p>
            <w:pPr>
              <w:jc w:val="center"/>
            </w:pPr>
            <w:r>
              <w:t>53.9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C-03-07</w:t>
            </w:r>
          </w:p>
        </w:tc>
        <w:tc>
          <w:tcPr>
            <w:vAlign w:val="center"/>
          </w:tcPr>
          <w:p>
            <w:pPr>
              <w:jc w:val="center"/>
            </w:pPr>
            <w:r>
              <w:t>53.9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C-03-08</w:t>
            </w:r>
          </w:p>
        </w:tc>
        <w:tc>
          <w:tcPr>
            <w:vAlign w:val="center"/>
          </w:tcPr>
          <w:p>
            <w:pPr>
              <w:jc w:val="center"/>
            </w:pPr>
            <w:r>
              <w:t>53.9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未命名建筑</w:t>
            </w:r>
          </w:p>
        </w:tc>
        <w:tc>
          <w:tcPr>
            <w:vAlign w:val="center"/>
          </w:tcPr>
          <w:p>
            <w:pPr>
              <w:jc w:val="center"/>
            </w:pPr>
            <w:r>
              <w:t>53.4</w:t>
            </w:r>
          </w:p>
        </w:tc>
        <w:tc>
          <w:tcPr>
            <w:vAlign w:val="center"/>
          </w:tcPr>
          <w:p>
            <w:pPr>
              <w:jc w:val="center"/>
            </w:pPr>
            <w:r>
              <w:t>0.00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3487"/>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10197"/>
      <w:r>
        <w:rPr>
          <w:rFonts w:hint="eastAsia"/>
          <w:sz w:val="24"/>
          <w:szCs w:val="24"/>
        </w:rPr>
        <w:t>2.1评价</w:t>
      </w:r>
      <w:r>
        <w:rPr>
          <w:sz w:val="24"/>
          <w:szCs w:val="24"/>
        </w:rPr>
        <w:t>依据</w:t>
      </w:r>
      <w:bookmarkEnd w:id="14"/>
      <w:bookmarkEnd w:id="15"/>
    </w:p>
    <w:p>
      <w:pPr>
        <w:pStyle w:val="33"/>
        <w:spacing w:line="276" w:lineRule="auto"/>
        <w:ind w:firstLine="420"/>
        <w:rPr>
          <w:sz w:val="21"/>
          <w:szCs w:val="21"/>
        </w:rPr>
      </w:pPr>
      <w:bookmarkStart w:id="16" w:name="_Toc479326720"/>
      <w:r>
        <w:rPr>
          <w:rFonts w:hint="eastAsia"/>
          <w:sz w:val="21"/>
          <w:szCs w:val="21"/>
        </w:rPr>
        <w:t>1．《绿色建筑评价标准》</w:t>
      </w:r>
      <w:r>
        <w:rPr>
          <w:sz w:val="21"/>
          <w:szCs w:val="21"/>
        </w:rPr>
        <w:t>GB</w:t>
      </w:r>
      <w:r>
        <w:rPr>
          <w:rFonts w:hint="eastAsia"/>
          <w:sz w:val="21"/>
          <w:szCs w:val="21"/>
        </w:rPr>
        <w:t xml:space="preserve"> </w:t>
      </w:r>
      <w:r>
        <w:rPr>
          <w:sz w:val="21"/>
          <w:szCs w:val="21"/>
        </w:rPr>
        <w:t>50378-20</w:t>
      </w:r>
      <w:r>
        <w:rPr>
          <w:rFonts w:hint="eastAsia"/>
          <w:sz w:val="21"/>
          <w:szCs w:val="21"/>
        </w:rPr>
        <w:t>14</w:t>
      </w:r>
      <w:r>
        <w:rPr>
          <w:sz w:val="21"/>
          <w:szCs w:val="21"/>
        </w:rPr>
        <w:t xml:space="preserve"> </w:t>
      </w:r>
    </w:p>
    <w:p>
      <w:pPr>
        <w:pStyle w:val="33"/>
        <w:spacing w:line="276" w:lineRule="auto"/>
        <w:ind w:firstLine="420"/>
        <w:rPr>
          <w:sz w:val="21"/>
          <w:szCs w:val="21"/>
        </w:rPr>
      </w:pPr>
      <w:r>
        <w:rPr>
          <w:rFonts w:hint="eastAsia"/>
          <w:sz w:val="21"/>
          <w:szCs w:val="21"/>
        </w:rPr>
        <w:t>2．《绿色建筑评价</w:t>
      </w:r>
      <w:r>
        <w:rPr>
          <w:sz w:val="21"/>
          <w:szCs w:val="21"/>
        </w:rPr>
        <w:t>技术细则</w:t>
      </w:r>
      <w:r>
        <w:rPr>
          <w:rFonts w:hint="eastAsia"/>
          <w:sz w:val="21"/>
          <w:szCs w:val="21"/>
        </w:rPr>
        <w:t>》</w:t>
      </w:r>
    </w:p>
    <w:p>
      <w:pPr>
        <w:pStyle w:val="33"/>
        <w:spacing w:line="276" w:lineRule="auto"/>
        <w:ind w:firstLine="420"/>
        <w:rPr>
          <w:sz w:val="21"/>
          <w:szCs w:val="21"/>
        </w:rPr>
      </w:pPr>
      <w:bookmarkStart w:id="17" w:name="OLE_LINK1"/>
      <w:bookmarkStart w:id="18" w:name="OLE_LINK2"/>
      <w:r>
        <w:rPr>
          <w:rFonts w:hint="eastAsia"/>
          <w:sz w:val="21"/>
          <w:szCs w:val="21"/>
        </w:rPr>
        <w:t>3．</w:t>
      </w:r>
      <w:bookmarkEnd w:id="17"/>
      <w:bookmarkEnd w:id="18"/>
      <w:r>
        <w:rPr>
          <w:rFonts w:hint="eastAsia"/>
          <w:sz w:val="21"/>
          <w:szCs w:val="21"/>
        </w:rPr>
        <w:t>《声环境质量标准》</w:t>
      </w:r>
      <w:r>
        <w:rPr>
          <w:sz w:val="21"/>
          <w:szCs w:val="21"/>
        </w:rPr>
        <w:t xml:space="preserve">GB 3096-2008 </w:t>
      </w:r>
    </w:p>
    <w:p>
      <w:pPr>
        <w:pStyle w:val="33"/>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pPr>
        <w:pStyle w:val="33"/>
        <w:spacing w:line="276" w:lineRule="auto"/>
        <w:ind w:firstLine="420"/>
        <w:rPr>
          <w:sz w:val="21"/>
          <w:szCs w:val="21"/>
        </w:rPr>
      </w:pPr>
      <w:r>
        <w:rPr>
          <w:sz w:val="21"/>
          <w:szCs w:val="21"/>
        </w:rPr>
        <w:t>6</w:t>
      </w:r>
      <w:r>
        <w:rPr>
          <w:rFonts w:hint="eastAsia"/>
          <w:sz w:val="21"/>
          <w:szCs w:val="21"/>
        </w:rPr>
        <w:t>．建筑设计图纸相关文件</w:t>
      </w:r>
    </w:p>
    <w:p>
      <w:pPr>
        <w:pStyle w:val="3"/>
        <w:rPr>
          <w:sz w:val="24"/>
          <w:szCs w:val="24"/>
        </w:rPr>
      </w:pPr>
      <w:bookmarkStart w:id="19" w:name="_Toc3910"/>
      <w:r>
        <w:rPr>
          <w:rFonts w:hint="eastAsia"/>
          <w:sz w:val="24"/>
          <w:szCs w:val="24"/>
        </w:rPr>
        <w:t>2.2标准</w:t>
      </w:r>
      <w:r>
        <w:rPr>
          <w:sz w:val="24"/>
          <w:szCs w:val="24"/>
        </w:rPr>
        <w:t>要求</w:t>
      </w:r>
      <w:bookmarkEnd w:id="16"/>
      <w:bookmarkEnd w:id="19"/>
    </w:p>
    <w:p>
      <w:pPr>
        <w:pStyle w:val="28"/>
        <w:spacing w:line="276" w:lineRule="auto"/>
        <w:jc w:val="left"/>
        <w:rPr>
          <w:rFonts w:ascii="Times New Roman" w:hAnsi="Times New Roman"/>
          <w:sz w:val="21"/>
          <w:szCs w:val="21"/>
        </w:rPr>
      </w:pPr>
      <w:r>
        <w:rPr>
          <w:rFonts w:hint="eastAsia" w:ascii="Times New Roman" w:hAnsi="Times New Roman"/>
          <w:b/>
          <w:sz w:val="21"/>
          <w:szCs w:val="21"/>
        </w:rPr>
        <w:t>（1）《绿色建筑评价标准》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50378-20</w:t>
      </w:r>
      <w:r>
        <w:rPr>
          <w:rFonts w:hint="eastAsia" w:ascii="Times New Roman" w:hAnsi="Times New Roman"/>
          <w:b/>
          <w:sz w:val="21"/>
          <w:szCs w:val="21"/>
        </w:rPr>
        <w:t>14</w:t>
      </w:r>
      <w:r>
        <w:rPr>
          <w:rFonts w:hint="eastAsia" w:ascii="Times New Roman" w:hAnsi="Times New Roman"/>
          <w:sz w:val="21"/>
          <w:szCs w:val="21"/>
        </w:rPr>
        <w:t>中规定：</w:t>
      </w:r>
    </w:p>
    <w:p>
      <w:pPr>
        <w:pStyle w:val="33"/>
        <w:spacing w:line="276" w:lineRule="auto"/>
        <w:ind w:firstLine="420"/>
        <w:rPr>
          <w:sz w:val="21"/>
          <w:szCs w:val="21"/>
        </w:rPr>
      </w:pPr>
      <w:r>
        <w:rPr>
          <w:rFonts w:hint="eastAsia"/>
          <w:sz w:val="21"/>
          <w:szCs w:val="21"/>
        </w:rPr>
        <w:t>4.2.5 场地内环境噪声符合现行国家标准《声环境质量标准》GB 3096的有关规定，评价分值为4分。</w:t>
      </w:r>
    </w:p>
    <w:p>
      <w:pPr>
        <w:pStyle w:val="28"/>
        <w:spacing w:line="276" w:lineRule="auto"/>
        <w:jc w:val="left"/>
        <w:rPr>
          <w:rFonts w:ascii="Times New Roman" w:hAnsi="Times New Roman"/>
          <w:sz w:val="21"/>
          <w:szCs w:val="21"/>
        </w:rPr>
      </w:pPr>
      <w:r>
        <w:rPr>
          <w:rFonts w:hint="eastAsia" w:ascii="Times New Roman" w:hAnsi="Times New Roman"/>
          <w:b/>
          <w:sz w:val="21"/>
          <w:szCs w:val="21"/>
        </w:rPr>
        <w:t>（2）《声环境质量标准》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3096-2008</w:t>
      </w:r>
      <w:r>
        <w:rPr>
          <w:rFonts w:hint="eastAsia" w:ascii="Times New Roman" w:hAnsi="Times New Roman"/>
          <w:sz w:val="21"/>
          <w:szCs w:val="21"/>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w:t>
      </w:r>
      <w:r>
        <w:rPr>
          <w:rFonts w:ascii="黑体" w:hAnsi="黑体" w:eastAsia="黑体"/>
          <w:kern w:val="0"/>
          <w:szCs w:val="20"/>
        </w:rPr>
        <w:t>.2-1</w:t>
      </w:r>
      <w:r>
        <w:rPr>
          <w:rFonts w:hint="eastAsia" w:ascii="黑体" w:hAnsi="黑体" w:eastAsia="黑体"/>
          <w:kern w:val="0"/>
          <w:szCs w:val="20"/>
        </w:rPr>
        <w:t xml:space="preserve">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jc w:val="center"/>
              <w:rPr>
                <w:rFonts w:ascii="Times New Roman" w:hAnsi="Times New Roman" w:cs="宋体"/>
                <w:b/>
                <w:color w:val="000000"/>
                <w:kern w:val="0"/>
                <w:sz w:val="18"/>
                <w:szCs w:val="21"/>
              </w:rPr>
            </w:pPr>
            <w:r>
              <w:rPr>
                <w:rFonts w:hint="eastAsia" w:ascii="Times New Roman" w:hAnsi="Times New Roman" w:cs="宋体"/>
                <w:b/>
                <w:color w:val="000000"/>
                <w:kern w:val="0"/>
                <w:sz w:val="18"/>
                <w:szCs w:val="21"/>
              </w:rPr>
              <w:t>声环境</w:t>
            </w:r>
          </w:p>
          <w:p>
            <w:pPr>
              <w:widowControl/>
              <w:jc w:val="center"/>
              <w:rPr>
                <w:rFonts w:ascii="Times New Roman" w:hAnsi="Times New Roman" w:cs="宋体"/>
                <w:color w:val="000000"/>
                <w:kern w:val="0"/>
                <w:sz w:val="18"/>
                <w:szCs w:val="21"/>
              </w:rPr>
            </w:pPr>
            <w:r>
              <w:rPr>
                <w:rFonts w:hint="eastAsia" w:ascii="Times New Roman" w:hAnsi="Times New Roman" w:cs="宋体"/>
                <w:b/>
                <w:color w:val="000000"/>
                <w:kern w:val="0"/>
                <w:sz w:val="18"/>
                <w:szCs w:val="21"/>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 w:val="18"/>
                <w:szCs w:val="21"/>
              </w:rPr>
            </w:pPr>
            <w:r>
              <w:rPr>
                <w:rFonts w:hint="eastAsia" w:ascii="Times New Roman" w:hAnsi="Times New Roman" w:cs="宋体"/>
                <w:b/>
                <w:color w:val="000000"/>
                <w:kern w:val="0"/>
                <w:sz w:val="18"/>
                <w:szCs w:val="21"/>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jc w:val="center"/>
              <w:rPr>
                <w:rFonts w:ascii="Times New Roman" w:hAnsi="Times New Roman" w:cs="宋体"/>
                <w:b/>
                <w:color w:val="000000"/>
                <w:kern w:val="0"/>
                <w:sz w:val="18"/>
                <w:szCs w:val="21"/>
              </w:rPr>
            </w:pPr>
            <w:r>
              <w:rPr>
                <w:rFonts w:hint="eastAsia" w:ascii="Times New Roman" w:hAnsi="Times New Roman" w:cs="宋体"/>
                <w:b/>
                <w:color w:val="000000"/>
                <w:kern w:val="0"/>
                <w:sz w:val="18"/>
                <w:szCs w:val="21"/>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rPr>
                <w:rFonts w:ascii="Times New Roman" w:hAnsi="Times New Roman" w:cs="宋体"/>
                <w:color w:val="000000"/>
                <w:kern w:val="0"/>
                <w:sz w:val="18"/>
                <w:szCs w:val="21"/>
              </w:rPr>
            </w:pP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 w:val="18"/>
                <w:szCs w:val="21"/>
              </w:rPr>
            </w:pPr>
            <w:r>
              <w:rPr>
                <w:rFonts w:hint="eastAsia" w:ascii="Times New Roman" w:hAnsi="Times New Roman" w:cs="宋体"/>
                <w:b/>
                <w:color w:val="000000"/>
                <w:kern w:val="0"/>
                <w:sz w:val="18"/>
                <w:szCs w:val="21"/>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 w:val="18"/>
                <w:szCs w:val="21"/>
              </w:rPr>
            </w:pPr>
            <w:r>
              <w:rPr>
                <w:rFonts w:hint="eastAsia" w:ascii="Times New Roman" w:hAnsi="Times New Roman" w:cs="宋体"/>
                <w:b/>
                <w:color w:val="000000"/>
                <w:kern w:val="0"/>
                <w:sz w:val="18"/>
                <w:szCs w:val="21"/>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rPr>
                <w:rFonts w:ascii="Times New Roman" w:hAnsi="Times New Roman" w:cs="宋体"/>
                <w:color w:val="000000"/>
                <w:kern w:val="0"/>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50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40</w:t>
            </w:r>
          </w:p>
        </w:tc>
        <w:tc>
          <w:tcPr>
            <w:tcW w:w="3108" w:type="pct"/>
            <w:tcBorders>
              <w:top w:val="nil"/>
              <w:left w:val="nil"/>
              <w:bottom w:val="single" w:color="auto" w:sz="4" w:space="0"/>
              <w:right w:val="single" w:color="auto" w:sz="12" w:space="0"/>
            </w:tcBorders>
            <w:shd w:val="clear" w:color="auto" w:fill="auto"/>
            <w:vAlign w:val="center"/>
          </w:tcPr>
          <w:p>
            <w:pPr>
              <w:widowControl/>
              <w:rPr>
                <w:rFonts w:ascii="Times New Roman" w:hAnsi="Times New Roman" w:cs="宋体"/>
                <w:color w:val="000000"/>
                <w:kern w:val="0"/>
                <w:sz w:val="18"/>
                <w:szCs w:val="21"/>
              </w:rPr>
            </w:pPr>
            <w:r>
              <w:rPr>
                <w:rFonts w:hint="eastAsia" w:ascii="Times New Roman" w:hAnsi="Times New Roman" w:cs="宋体"/>
                <w:color w:val="000000"/>
                <w:kern w:val="0"/>
                <w:sz w:val="18"/>
                <w:szCs w:val="21"/>
              </w:rPr>
              <w:t xml:space="preserve">指康复疗养区等特别需要安静的区域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55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45</w:t>
            </w:r>
          </w:p>
        </w:tc>
        <w:tc>
          <w:tcPr>
            <w:tcW w:w="3108" w:type="pct"/>
            <w:tcBorders>
              <w:top w:val="nil"/>
              <w:left w:val="nil"/>
              <w:bottom w:val="single" w:color="auto" w:sz="4" w:space="0"/>
              <w:right w:val="single" w:color="auto" w:sz="12" w:space="0"/>
            </w:tcBorders>
            <w:shd w:val="clear" w:color="auto" w:fill="auto"/>
            <w:vAlign w:val="center"/>
          </w:tcPr>
          <w:p>
            <w:pPr>
              <w:widowControl/>
              <w:rPr>
                <w:rFonts w:ascii="Times New Roman" w:hAnsi="Times New Roman" w:cs="宋体"/>
                <w:color w:val="000000"/>
                <w:kern w:val="0"/>
                <w:sz w:val="18"/>
                <w:szCs w:val="21"/>
              </w:rPr>
            </w:pPr>
            <w:r>
              <w:rPr>
                <w:rFonts w:hint="eastAsia" w:ascii="Times New Roman" w:hAnsi="Times New Roman" w:cs="宋体"/>
                <w:color w:val="000000"/>
                <w:kern w:val="0"/>
                <w:sz w:val="18"/>
                <w:szCs w:val="21"/>
              </w:rPr>
              <w:t xml:space="preserve">指以居民住宅、医疗卫生、文化教育、科研设计、行政办公为主要功能，需要保持安静的区域。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60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50</w:t>
            </w:r>
          </w:p>
        </w:tc>
        <w:tc>
          <w:tcPr>
            <w:tcW w:w="3108" w:type="pct"/>
            <w:tcBorders>
              <w:top w:val="nil"/>
              <w:left w:val="nil"/>
              <w:bottom w:val="single" w:color="auto" w:sz="4" w:space="0"/>
              <w:right w:val="single" w:color="auto" w:sz="12" w:space="0"/>
            </w:tcBorders>
            <w:shd w:val="clear" w:color="auto" w:fill="auto"/>
            <w:vAlign w:val="center"/>
          </w:tcPr>
          <w:p>
            <w:pPr>
              <w:widowControl/>
              <w:rPr>
                <w:rFonts w:ascii="Times New Roman" w:hAnsi="Times New Roman" w:cs="宋体"/>
                <w:color w:val="000000"/>
                <w:kern w:val="0"/>
                <w:sz w:val="18"/>
                <w:szCs w:val="21"/>
              </w:rPr>
            </w:pPr>
            <w:r>
              <w:rPr>
                <w:rFonts w:hint="eastAsia" w:ascii="Times New Roman" w:hAnsi="Times New Roman" w:cs="宋体"/>
                <w:color w:val="000000"/>
                <w:kern w:val="0"/>
                <w:sz w:val="18"/>
                <w:szCs w:val="21"/>
              </w:rPr>
              <w:t xml:space="preserve">指以商业金融、集市贸易为主要功能，或者居住、商业、 工业混杂，需要维护住宅安静的区域。 </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65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rPr>
                <w:rFonts w:ascii="Times New Roman" w:hAnsi="Times New Roman" w:cs="宋体"/>
                <w:color w:val="000000"/>
                <w:kern w:val="0"/>
                <w:sz w:val="18"/>
                <w:szCs w:val="21"/>
              </w:rPr>
            </w:pPr>
            <w:r>
              <w:rPr>
                <w:rFonts w:hint="eastAsia" w:ascii="Times New Roman" w:hAnsi="Times New Roman" w:cs="宋体"/>
                <w:color w:val="000000"/>
                <w:kern w:val="0"/>
                <w:sz w:val="18"/>
                <w:szCs w:val="21"/>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70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rPr>
                <w:rFonts w:ascii="Times New Roman" w:hAnsi="Times New Roman" w:cs="宋体"/>
                <w:color w:val="000000"/>
                <w:kern w:val="0"/>
                <w:sz w:val="18"/>
                <w:szCs w:val="21"/>
              </w:rPr>
            </w:pPr>
            <w:r>
              <w:rPr>
                <w:rFonts w:hint="eastAsia" w:ascii="Times New Roman" w:hAnsi="Times New Roman" w:cs="宋体"/>
                <w:color w:val="000000"/>
                <w:kern w:val="0"/>
                <w:sz w:val="18"/>
                <w:szCs w:val="21"/>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olor w:val="000000"/>
                <w:kern w:val="0"/>
                <w:sz w:val="18"/>
                <w:szCs w:val="21"/>
              </w:rPr>
            </w:pPr>
          </w:p>
        </w:tc>
        <w:tc>
          <w:tcPr>
            <w:tcW w:w="502"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 w:val="18"/>
                <w:szCs w:val="21"/>
              </w:rPr>
            </w:pPr>
            <w:r>
              <w:rPr>
                <w:rFonts w:ascii="Times New Roman" w:hAnsi="Times New Roman"/>
                <w:color w:val="000000"/>
                <w:kern w:val="0"/>
                <w:sz w:val="18"/>
                <w:szCs w:val="21"/>
              </w:rPr>
              <w:t>60</w:t>
            </w:r>
          </w:p>
        </w:tc>
        <w:tc>
          <w:tcPr>
            <w:tcW w:w="3108" w:type="pct"/>
            <w:tcBorders>
              <w:top w:val="nil"/>
              <w:left w:val="nil"/>
              <w:bottom w:val="single" w:color="auto" w:sz="12" w:space="0"/>
              <w:right w:val="single" w:color="auto" w:sz="12" w:space="0"/>
            </w:tcBorders>
            <w:shd w:val="clear" w:color="auto" w:fill="auto"/>
            <w:vAlign w:val="center"/>
          </w:tcPr>
          <w:p>
            <w:pPr>
              <w:widowControl/>
              <w:rPr>
                <w:rFonts w:ascii="Times New Roman" w:hAnsi="Times New Roman" w:cs="宋体"/>
                <w:color w:val="000000"/>
                <w:kern w:val="0"/>
                <w:sz w:val="18"/>
                <w:szCs w:val="21"/>
              </w:rPr>
            </w:pPr>
            <w:r>
              <w:rPr>
                <w:rFonts w:hint="eastAsia" w:ascii="Times New Roman" w:hAnsi="Times New Roman" w:cs="宋体"/>
                <w:color w:val="000000"/>
                <w:kern w:val="0"/>
                <w:sz w:val="18"/>
                <w:szCs w:val="21"/>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spacing w:line="480" w:lineRule="auto"/>
        <w:ind w:firstLine="420"/>
      </w:pPr>
      <w:r>
        <w:rPr>
          <w:rFonts w:hint="eastAsia"/>
        </w:rPr>
        <w:t>噪声</w:t>
      </w:r>
      <w:r>
        <w:t>敏感</w:t>
      </w:r>
      <w:r>
        <w:rPr>
          <w:rFonts w:hint="eastAsia"/>
        </w:rPr>
        <w:t>参评</w:t>
      </w:r>
      <w:r>
        <w:t>建筑物按照对应声功能区域</w:t>
      </w:r>
      <w:r>
        <w:rPr>
          <w:rFonts w:hint="eastAsia"/>
        </w:rPr>
        <w:t>噪声</w:t>
      </w:r>
      <w:r>
        <w:t>限值进行评价判断</w:t>
      </w:r>
      <w:r>
        <w:rPr>
          <w:rFonts w:hint="eastAsia"/>
        </w:rPr>
        <w:t>达标</w:t>
      </w:r>
      <w:r>
        <w:t>情况。</w:t>
      </w:r>
    </w:p>
    <w:p>
      <w:pPr>
        <w:jc w:val="center"/>
      </w:pPr>
    </w:p>
    <w:p>
      <w:pPr>
        <w:rPr>
          <w:b/>
        </w:rPr>
      </w:pPr>
      <w:bookmarkStart w:id="20" w:name="项目声功能区"/>
      <w:r>
        <w:rPr>
          <w:rFonts w:hint="eastAsia"/>
          <w:b/>
        </w:rPr>
        <w:t>本项目所在区域声环境执行《声环境质量标准》（GB3096-2008）</w:t>
      </w:r>
      <w:bookmarkEnd w:id="20"/>
      <w:r>
        <w:rPr>
          <w:b/>
          <w:color w:val="000000"/>
        </w:rPr>
        <w:t>2类区域标准。</w:t>
      </w:r>
    </w:p>
    <w:p>
      <w:pPr>
        <w:widowControl/>
        <w:rPr>
          <w:rFonts w:ascii="Times New Roman" w:hAnsi="Times New Roman" w:eastAsia="华文楷体"/>
          <w:szCs w:val="21"/>
        </w:rPr>
      </w:pPr>
      <w:r>
        <w:rPr>
          <w:rFonts w:hint="eastAsia" w:ascii="Times New Roman" w:hAnsi="Times New Roman" w:eastAsia="华文楷体"/>
          <w:szCs w:val="21"/>
        </w:rPr>
        <w:t xml:space="preserve">             </w:t>
      </w:r>
    </w:p>
    <w:p>
      <w:pPr>
        <w:widowControl/>
        <w:jc w:val="center"/>
        <w:rPr>
          <w:rFonts w:ascii="Times New Roman" w:hAnsi="Times New Roman"/>
          <w:szCs w:val="21"/>
        </w:rPr>
      </w:pPr>
      <w:r>
        <w:rPr>
          <w:rFonts w:hint="eastAsia" w:ascii="Times New Roman" w:hAnsi="Times New Roman" w:eastAsia="华文楷体"/>
          <w:szCs w:val="21"/>
        </w:rPr>
        <w:t xml:space="preserve">                  </w:t>
      </w:r>
      <w:r>
        <w:rPr>
          <w:rFonts w:ascii="Times New Roman" w:hAnsi="Times New Roman" w:eastAsia="华文楷体"/>
          <w:szCs w:val="21"/>
        </w:rPr>
        <w:t xml:space="preserve">  </w:t>
      </w:r>
      <w:r>
        <w:rPr>
          <w:rFonts w:ascii="宋体" w:hAnsi="宋体"/>
          <w:sz w:val="18"/>
          <w:szCs w:val="18"/>
        </w:rPr>
        <w:t xml:space="preserve"> </w:t>
      </w:r>
      <w:r>
        <w:rPr>
          <w:rFonts w:ascii="宋体" w:hAnsi="宋体"/>
          <w:szCs w:val="21"/>
        </w:rPr>
        <w:t xml:space="preserve"> </w:t>
      </w:r>
      <w:r>
        <w:rPr>
          <w:rFonts w:ascii="黑体" w:hAnsi="黑体" w:eastAsia="黑体"/>
          <w:kern w:val="0"/>
          <w:szCs w:val="20"/>
        </w:rPr>
        <w:t xml:space="preserve"> </w:t>
      </w:r>
      <w:r>
        <w:rPr>
          <w:rFonts w:hint="eastAsia" w:ascii="黑体" w:hAnsi="黑体" w:eastAsia="黑体"/>
          <w:kern w:val="0"/>
          <w:szCs w:val="20"/>
        </w:rPr>
        <w:t>表</w:t>
      </w:r>
      <w:r>
        <w:rPr>
          <w:rFonts w:ascii="黑体" w:hAnsi="黑体" w:eastAsia="黑体"/>
          <w:kern w:val="0"/>
          <w:szCs w:val="20"/>
        </w:rPr>
        <w:t>2.2-2</w:t>
      </w:r>
      <w:r>
        <w:rPr>
          <w:rFonts w:hint="eastAsia" w:ascii="黑体" w:hAnsi="黑体" w:eastAsia="黑体"/>
          <w:kern w:val="0"/>
          <w:szCs w:val="20"/>
        </w:rPr>
        <w:t xml:space="preserve"> 声功能区</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527"/>
        <w:gridCol w:w="1867"/>
        <w:gridCol w:w="18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类别</w:t>
            </w:r>
          </w:p>
        </w:tc>
        <w:tc>
          <w:tcPr>
            <w:shd w:val="clear" w:color="auto" w:fill="E6E6E6"/>
            <w:vAlign w:val="center"/>
          </w:tcPr>
          <w:p>
            <w:pPr>
              <w:jc w:val="center"/>
            </w:pPr>
            <w:r>
              <w:t>昼间</w:t>
            </w:r>
          </w:p>
        </w:tc>
        <w:tc>
          <w:tcPr>
            <w:shd w:val="clear" w:color="auto" w:fill="E6E6E6"/>
            <w:vAlign w:val="center"/>
          </w:tcPr>
          <w:p>
            <w:pPr>
              <w:jc w:val="center"/>
            </w:pPr>
            <w: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2类</w:t>
            </w:r>
          </w:p>
        </w:tc>
        <w:tc>
          <w:tcPr>
            <w:vAlign w:val="center"/>
          </w:tcPr>
          <w:p>
            <w:pPr>
              <w:jc w:val="center"/>
            </w:pPr>
            <w:r>
              <w:t>60</w:t>
            </w:r>
          </w:p>
        </w:tc>
        <w:tc>
          <w:tcPr>
            <w:vAlign w:val="center"/>
          </w:tcPr>
          <w:p>
            <w:pPr>
              <w:jc w:val="center"/>
            </w:pPr>
            <w:r>
              <w:t>50</w:t>
            </w:r>
          </w:p>
        </w:tc>
      </w:tr>
    </w:tbl>
    <w:p>
      <w:pPr>
        <w:widowControl/>
        <w:jc w:val="center"/>
        <w:rPr>
          <w:rFonts w:ascii="Times New Roman" w:hAnsi="Times New Roman"/>
          <w:szCs w:val="21"/>
        </w:rPr>
      </w:pPr>
      <w:bookmarkStart w:id="21" w:name="声功能区类别表格"/>
      <w:bookmarkEnd w:id="21"/>
    </w:p>
    <w:p>
      <w:pPr>
        <w:pStyle w:val="2"/>
        <w:rPr>
          <w:rFonts w:ascii="Times New Roman" w:hAnsi="Times New Roman"/>
          <w:sz w:val="28"/>
          <w:szCs w:val="28"/>
        </w:rPr>
      </w:pPr>
      <w:bookmarkStart w:id="22" w:name="_Toc479326721"/>
      <w:bookmarkStart w:id="23" w:name="_Toc31142"/>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479326722"/>
      <w:bookmarkStart w:id="25" w:name="_Toc20380"/>
      <w:r>
        <w:rPr>
          <w:rFonts w:hint="eastAsia"/>
          <w:sz w:val="24"/>
          <w:szCs w:val="24"/>
        </w:rPr>
        <w:t>3.1模拟软件</w:t>
      </w:r>
      <w:bookmarkEnd w:id="24"/>
      <w:bookmarkEnd w:id="25"/>
    </w:p>
    <w:p>
      <w:pPr>
        <w:pStyle w:val="33"/>
        <w:spacing w:line="276" w:lineRule="auto"/>
        <w:ind w:firstLine="420"/>
        <w:rPr>
          <w:rFonts w:cs="Times New Roman"/>
          <w:sz w:val="21"/>
          <w:szCs w:val="21"/>
        </w:rPr>
      </w:pPr>
      <w:bookmarkStart w:id="26"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GB/T15190-2014</w:t>
      </w:r>
      <w:r>
        <w:rPr>
          <w:rFonts w:hint="eastAsia"/>
          <w:sz w:val="21"/>
          <w:szCs w:val="21"/>
        </w:rPr>
        <w:t>，判断场地内环境噪声模拟结果是否满足《声环境质量标准》</w:t>
      </w:r>
      <w:r>
        <w:rPr>
          <w:sz w:val="21"/>
          <w:szCs w:val="21"/>
        </w:rPr>
        <w:t>GB3096-2008</w:t>
      </w:r>
      <w:r>
        <w:rPr>
          <w:rFonts w:hint="eastAsia"/>
          <w:sz w:val="21"/>
          <w:szCs w:val="21"/>
        </w:rPr>
        <w:t>的相关规定。</w:t>
      </w:r>
    </w:p>
    <w:p>
      <w:pPr>
        <w:pStyle w:val="3"/>
        <w:rPr>
          <w:sz w:val="24"/>
          <w:szCs w:val="24"/>
        </w:rPr>
      </w:pPr>
      <w:bookmarkStart w:id="27" w:name="_Toc26861"/>
      <w:r>
        <w:rPr>
          <w:rFonts w:hint="eastAsia"/>
          <w:sz w:val="24"/>
          <w:szCs w:val="24"/>
        </w:rPr>
        <w:t>3.2分析</w:t>
      </w:r>
      <w:r>
        <w:rPr>
          <w:sz w:val="24"/>
          <w:szCs w:val="24"/>
        </w:rPr>
        <w:t>模</w:t>
      </w:r>
      <w:r>
        <w:rPr>
          <w:rFonts w:hint="eastAsia"/>
          <w:sz w:val="24"/>
          <w:szCs w:val="24"/>
        </w:rPr>
        <w:t>型</w:t>
      </w:r>
      <w:bookmarkEnd w:id="26"/>
      <w:bookmarkEnd w:id="27"/>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5667375" cy="5772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9"/>
                    <a:stretch>
                      <a:fillRect/>
                    </a:stretch>
                  </pic:blipFill>
                  <pic:spPr>
                    <a:xfrm>
                      <a:off x="0" y="0"/>
                      <a:ext cx="5667375" cy="57721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sz w:val="24"/>
          <w:szCs w:val="24"/>
        </w:rPr>
      </w:pPr>
      <w:bookmarkStart w:id="29" w:name="_Toc479326724"/>
      <w:bookmarkStart w:id="30" w:name="_Toc31757"/>
      <w:r>
        <w:rPr>
          <w:sz w:val="24"/>
          <w:szCs w:val="24"/>
        </w:rPr>
        <w:t>3.3</w:t>
      </w:r>
      <w:r>
        <w:rPr>
          <w:rFonts w:hint="eastAsia"/>
          <w:sz w:val="24"/>
          <w:szCs w:val="24"/>
        </w:rPr>
        <w:t>声</w:t>
      </w:r>
      <w:r>
        <w:rPr>
          <w:sz w:val="24"/>
          <w:szCs w:val="24"/>
        </w:rPr>
        <w:t>功能区划分</w:t>
      </w:r>
      <w:bookmarkEnd w:id="29"/>
      <w:bookmarkEnd w:id="30"/>
    </w:p>
    <w:p>
      <w:pPr>
        <w:spacing w:line="276" w:lineRule="auto"/>
        <w:ind w:firstLine="420" w:firstLineChars="200"/>
        <w:rPr>
          <w:rFonts w:ascii="Times New Roman" w:hAnsi="Times New Roman" w:cs="宋体"/>
          <w:szCs w:val="21"/>
        </w:rPr>
      </w:pPr>
      <w:r>
        <w:rPr>
          <w:rFonts w:hint="eastAsia" w:ascii="Times New Roman" w:hAnsi="Times New Roman" w:cs="宋体"/>
          <w:szCs w:val="21"/>
        </w:rPr>
        <w:t>声功能区是判定声功能区内参评目标建筑是否达标的依据，参评目标建筑必须根据所在声功能区进行分析和判定。</w:t>
      </w:r>
    </w:p>
    <w:p>
      <w:pPr>
        <w:spacing w:line="276" w:lineRule="auto"/>
        <w:ind w:firstLine="420"/>
        <w:rPr>
          <w:rFonts w:ascii="Times New Roman" w:hAnsi="Times New Roman" w:cs="宋体"/>
          <w:szCs w:val="21"/>
        </w:rPr>
      </w:pPr>
      <w:r>
        <w:rPr>
          <w:rFonts w:hint="eastAsia" w:ascii="Times New Roman" w:hAnsi="Times New Roman" w:cs="宋体"/>
          <w:szCs w:val="21"/>
        </w:rPr>
        <w:t>本项目的</w:t>
      </w:r>
      <w:r>
        <w:rPr>
          <w:rFonts w:ascii="Times New Roman" w:hAnsi="Times New Roman" w:cs="宋体"/>
          <w:szCs w:val="21"/>
        </w:rPr>
        <w:t>声功能区</w:t>
      </w:r>
      <w:r>
        <w:rPr>
          <w:rFonts w:hint="eastAsia" w:ascii="Times New Roman" w:hAnsi="Times New Roman" w:cs="宋体"/>
          <w:szCs w:val="21"/>
        </w:rPr>
        <w:t>和</w:t>
      </w:r>
      <w:r>
        <w:rPr>
          <w:rFonts w:ascii="Times New Roman" w:hAnsi="Times New Roman" w:cs="宋体"/>
          <w:szCs w:val="21"/>
        </w:rPr>
        <w:t>包含的建筑物如下图所示：</w:t>
      </w:r>
    </w:p>
    <w:p>
      <w:pPr>
        <w:jc w:val="center"/>
      </w:pPr>
      <w:r>
        <w:drawing>
          <wp:inline distT="0" distB="0" distL="0" distR="0">
            <wp:extent cx="3914140" cy="5899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914286" cy="590476"/>
                    </a:xfrm>
                    <a:prstGeom prst="rect">
                      <a:avLst/>
                    </a:prstGeom>
                  </pic:spPr>
                </pic:pic>
              </a:graphicData>
            </a:graphic>
          </wp:inline>
        </w:drawing>
      </w:r>
    </w:p>
    <w:p>
      <w:pPr>
        <w:autoSpaceDE w:val="0"/>
        <w:autoSpaceDN w:val="0"/>
        <w:adjustRightInd w:val="0"/>
        <w:jc w:val="center"/>
        <w:rPr>
          <w:rFonts w:ascii="Times New Roman" w:hAnsi="Times New Roman" w:eastAsia="华文楷体" w:cs="宋体"/>
          <w:szCs w:val="21"/>
        </w:rPr>
      </w:pPr>
      <w:bookmarkStart w:id="31" w:name="功能区划分示意图"/>
      <w:bookmarkEnd w:id="31"/>
      <w:r>
        <w:drawing>
          <wp:inline distT="0" distB="0" distL="0" distR="0">
            <wp:extent cx="5667375" cy="42957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1"/>
                    <a:stretch>
                      <a:fillRect/>
                    </a:stretch>
                  </pic:blipFill>
                  <pic:spPr>
                    <a:xfrm>
                      <a:off x="0" y="0"/>
                      <a:ext cx="5667375" cy="42957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图3.3</w:t>
      </w:r>
      <w:r>
        <w:rPr>
          <w:rFonts w:ascii="黑体" w:hAnsi="黑体" w:eastAsia="黑体"/>
          <w:kern w:val="0"/>
          <w:szCs w:val="20"/>
        </w:rPr>
        <w:t>-1</w:t>
      </w:r>
      <w:r>
        <w:rPr>
          <w:rFonts w:hint="eastAsia" w:ascii="黑体" w:hAnsi="黑体" w:eastAsia="黑体"/>
          <w:kern w:val="0"/>
          <w:szCs w:val="20"/>
        </w:rPr>
        <w:t xml:space="preserve"> 功能区</w:t>
      </w:r>
      <w:r>
        <w:rPr>
          <w:rFonts w:ascii="黑体" w:hAnsi="黑体" w:eastAsia="黑体"/>
          <w:kern w:val="0"/>
          <w:szCs w:val="20"/>
        </w:rPr>
        <w:t>划分示意图</w:t>
      </w:r>
    </w:p>
    <w:p>
      <w:pPr>
        <w:pStyle w:val="3"/>
        <w:rPr>
          <w:rFonts w:ascii="宋体"/>
          <w:sz w:val="24"/>
          <w:szCs w:val="24"/>
        </w:rPr>
      </w:pPr>
      <w:bookmarkStart w:id="32" w:name="_Toc479326725"/>
      <w:bookmarkStart w:id="33" w:name="_Toc21348"/>
      <w:r>
        <w:rPr>
          <w:rFonts w:hint="eastAsia"/>
          <w:sz w:val="24"/>
          <w:szCs w:val="24"/>
        </w:rPr>
        <w:t>3.4 计算条件</w:t>
      </w:r>
      <w:bookmarkEnd w:id="32"/>
      <w:bookmarkEnd w:id="33"/>
    </w:p>
    <w:p>
      <w:pPr>
        <w:rPr>
          <w:rFonts w:ascii="宋体" w:hAnsi="宋体"/>
          <w:b/>
        </w:rPr>
      </w:pPr>
      <w:bookmarkStart w:id="34" w:name="计算条件"/>
      <w:r>
        <w:rPr>
          <w:rFonts w:hint="eastAsia" w:ascii="宋体" w:hAnsi="宋体"/>
          <w:b/>
        </w:rPr>
        <w:t>■ 网格设置</w:t>
      </w:r>
    </w:p>
    <w:p>
      <w:pPr>
        <w:rPr>
          <w:rFonts w:ascii="宋体" w:hAnsi="宋体"/>
          <w:b/>
        </w:rPr>
      </w:pPr>
      <w:r>
        <w:rPr>
          <w:rFonts w:ascii="宋体" w:hAnsi="宋体"/>
          <w:b/>
          <w:color w:val="000000"/>
        </w:rPr>
        <w:t xml:space="preserve">  平面网格间距：20×20 米</w:t>
      </w:r>
    </w:p>
    <w:p>
      <w:pPr>
        <w:rPr>
          <w:rFonts w:ascii="宋体" w:hAnsi="宋体"/>
          <w:b/>
        </w:rPr>
      </w:pPr>
      <w:r>
        <w:rPr>
          <w:rFonts w:ascii="宋体" w:hAnsi="宋体"/>
          <w:b/>
          <w:color w:val="000000"/>
        </w:rPr>
        <w:t xml:space="preserve">  平面网格离地高度：1.5 米</w:t>
      </w:r>
    </w:p>
    <w:p>
      <w:pPr>
        <w:rPr>
          <w:rFonts w:ascii="宋体" w:hAnsi="宋体"/>
          <w:b/>
        </w:rPr>
      </w:pPr>
      <w:r>
        <w:rPr>
          <w:rFonts w:ascii="宋体" w:hAnsi="宋体"/>
          <w:b/>
          <w:color w:val="000000"/>
        </w:rPr>
        <w:t xml:space="preserve">  立面网格间距：3×3 米</w:t>
      </w:r>
    </w:p>
    <w:p>
      <w:pPr>
        <w:rPr>
          <w:rFonts w:ascii="宋体" w:hAnsi="宋体"/>
          <w:b/>
        </w:rPr>
      </w:pPr>
    </w:p>
    <w:p>
      <w:pPr>
        <w:rPr>
          <w:rFonts w:ascii="宋体" w:hAnsi="宋体"/>
          <w:b/>
        </w:rPr>
      </w:pPr>
      <w:r>
        <w:rPr>
          <w:rFonts w:ascii="宋体" w:hAnsi="宋体"/>
          <w:b/>
          <w:color w:val="000000"/>
        </w:rPr>
        <w:t>■ 地面效应</w:t>
      </w:r>
    </w:p>
    <w:p>
      <w:pPr>
        <w:rPr>
          <w:rFonts w:ascii="宋体" w:hAnsi="宋体"/>
          <w:b/>
        </w:rPr>
      </w:pPr>
      <w:r>
        <w:rPr>
          <w:rFonts w:ascii="宋体" w:hAnsi="宋体"/>
          <w:b/>
          <w:color w:val="000000"/>
        </w:rPr>
        <w:t xml:space="preserve">  地面高度：0 米</w:t>
      </w:r>
    </w:p>
    <w:p>
      <w:pPr>
        <w:rPr>
          <w:rFonts w:ascii="宋体" w:hAnsi="宋体"/>
          <w:b/>
        </w:rPr>
      </w:pPr>
      <w:r>
        <w:rPr>
          <w:rFonts w:ascii="宋体" w:hAnsi="宋体"/>
          <w:b/>
          <w:color w:val="000000"/>
        </w:rPr>
        <w:t xml:space="preserve">  计算考虑地面效应</w:t>
      </w:r>
    </w:p>
    <w:p>
      <w:pPr>
        <w:rPr>
          <w:rFonts w:ascii="宋体" w:hAnsi="宋体"/>
          <w:b/>
        </w:rPr>
      </w:pPr>
      <w:r>
        <w:rPr>
          <w:rFonts w:ascii="宋体" w:hAnsi="宋体"/>
          <w:b/>
          <w:color w:val="000000"/>
        </w:rPr>
        <w:t xml:space="preserve">  地面效应计算方法：导则算法</w:t>
      </w:r>
    </w:p>
    <w:p>
      <w:pPr>
        <w:rPr>
          <w:rFonts w:ascii="宋体" w:hAnsi="宋体"/>
          <w:b/>
        </w:rPr>
      </w:pPr>
    </w:p>
    <w:p>
      <w:pPr>
        <w:rPr>
          <w:rFonts w:ascii="宋体" w:hAnsi="宋体"/>
          <w:b/>
        </w:rPr>
      </w:pPr>
      <w:r>
        <w:rPr>
          <w:rFonts w:ascii="宋体" w:hAnsi="宋体"/>
          <w:b/>
          <w:color w:val="000000"/>
        </w:rPr>
        <w:t>■ 噪声反射</w:t>
      </w:r>
    </w:p>
    <w:p>
      <w:pPr>
        <w:rPr>
          <w:rFonts w:ascii="宋体" w:hAnsi="宋体"/>
          <w:b/>
        </w:rPr>
      </w:pPr>
      <w:r>
        <w:rPr>
          <w:rFonts w:ascii="宋体" w:hAnsi="宋体"/>
          <w:b/>
          <w:color w:val="000000"/>
        </w:rPr>
        <w:t xml:space="preserve">  障碍物考虑的最大反射次数：1</w:t>
      </w:r>
    </w:p>
    <w:p>
      <w:pPr>
        <w:rPr>
          <w:rFonts w:ascii="宋体" w:hAnsi="宋体"/>
          <w:b/>
        </w:rPr>
      </w:pPr>
    </w:p>
    <w:p>
      <w:pPr>
        <w:rPr>
          <w:rFonts w:ascii="宋体" w:hAnsi="宋体"/>
          <w:b/>
        </w:rPr>
      </w:pPr>
      <w:r>
        <w:rPr>
          <w:rFonts w:ascii="宋体" w:hAnsi="宋体"/>
          <w:b/>
          <w:color w:val="000000"/>
        </w:rPr>
        <w:t>■ 空气吸收</w:t>
      </w:r>
    </w:p>
    <w:p>
      <w:pPr>
        <w:rPr>
          <w:rFonts w:ascii="宋体" w:hAnsi="宋体"/>
          <w:b/>
        </w:rPr>
      </w:pPr>
      <w:r>
        <w:rPr>
          <w:rFonts w:ascii="宋体" w:hAnsi="宋体"/>
          <w:b/>
          <w:color w:val="000000"/>
        </w:rPr>
        <w:t xml:space="preserve">  气压：101325Pa  气温：16℃  湿度：50%</w:t>
      </w:r>
    </w:p>
    <w:p>
      <w:pPr>
        <w:rPr>
          <w:rFonts w:ascii="宋体" w:hAnsi="宋体"/>
          <w:b/>
        </w:rPr>
      </w:pPr>
    </w:p>
    <w:p>
      <w:pPr>
        <w:rPr>
          <w:rFonts w:ascii="宋体" w:hAnsi="宋体"/>
          <w:b/>
        </w:rPr>
      </w:pPr>
      <w:r>
        <w:rPr>
          <w:rFonts w:ascii="宋体" w:hAnsi="宋体"/>
          <w:b/>
          <w:color w:val="000000"/>
        </w:rPr>
        <w:t>■ 达标统计</w:t>
      </w:r>
    </w:p>
    <w:p>
      <w:pPr>
        <w:rPr>
          <w:rFonts w:ascii="宋体" w:hAnsi="宋体"/>
          <w:b/>
        </w:rPr>
      </w:pPr>
      <w:r>
        <w:rPr>
          <w:rFonts w:ascii="宋体" w:hAnsi="宋体"/>
          <w:b/>
          <w:color w:val="000000"/>
        </w:rPr>
        <w:t xml:space="preserve">  建筑物噪声最大值统计方式</w:t>
      </w:r>
    </w:p>
    <w:p>
      <w:pPr>
        <w:rPr>
          <w:rFonts w:ascii="宋体" w:hAnsi="宋体"/>
          <w:b/>
        </w:rPr>
      </w:pPr>
      <w:r>
        <w:rPr>
          <w:rFonts w:ascii="宋体" w:hAnsi="宋体"/>
          <w:b/>
          <w:color w:val="000000"/>
        </w:rPr>
        <w:t xml:space="preserve">    取距离建筑物底标高1.5米沿线点</w:t>
      </w:r>
    </w:p>
    <w:p>
      <w:pPr>
        <w:rPr>
          <w:rFonts w:ascii="宋体" w:hAnsi="宋体"/>
          <w:b/>
        </w:rPr>
      </w:pPr>
      <w:r>
        <w:rPr>
          <w:rFonts w:ascii="宋体" w:hAnsi="宋体"/>
          <w:b/>
          <w:color w:val="000000"/>
        </w:rPr>
        <w:t xml:space="preserve">  声功能区达标统计方式</w:t>
      </w:r>
    </w:p>
    <w:p>
      <w:pPr>
        <w:rPr>
          <w:rFonts w:ascii="宋体" w:hAnsi="宋体"/>
          <w:b/>
        </w:rPr>
      </w:pPr>
      <w:r>
        <w:rPr>
          <w:rFonts w:ascii="宋体" w:hAnsi="宋体"/>
          <w:b/>
          <w:color w:val="000000"/>
        </w:rPr>
        <w:t xml:space="preserve">    声功能区内命名参评建筑物全部达标</w:t>
      </w:r>
    </w:p>
    <w:bookmarkEnd w:id="34"/>
    <w:p>
      <w:pPr>
        <w:pStyle w:val="3"/>
        <w:rPr>
          <w:sz w:val="24"/>
          <w:szCs w:val="24"/>
        </w:rPr>
      </w:pPr>
      <w:bookmarkStart w:id="35" w:name="_Toc479326726"/>
      <w:bookmarkStart w:id="36" w:name="_Toc20840"/>
      <w:r>
        <w:rPr>
          <w:rFonts w:hint="eastAsia"/>
          <w:sz w:val="24"/>
          <w:szCs w:val="24"/>
        </w:rPr>
        <w:t>3.5参数</w:t>
      </w:r>
      <w:r>
        <w:rPr>
          <w:sz w:val="24"/>
          <w:szCs w:val="24"/>
        </w:rPr>
        <w:t>设置</w:t>
      </w:r>
      <w:bookmarkEnd w:id="35"/>
      <w:bookmarkEnd w:id="36"/>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ind w:firstLine="420"/>
        <w:jc w:val="center"/>
      </w:pPr>
    </w:p>
    <w:p>
      <w:pPr>
        <w:ind w:firstLine="420"/>
        <w:jc w:val="center"/>
      </w:pPr>
      <w:bookmarkStart w:id="37" w:name="声源表"/>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路段名称</w:t>
            </w:r>
          </w:p>
        </w:tc>
        <w:tc>
          <w:tcPr>
            <w:shd w:val="clear" w:color="auto" w:fill="E6E6E6"/>
            <w:vAlign w:val="center"/>
          </w:tcPr>
          <w:p>
            <w:pPr>
              <w:jc w:val="center"/>
            </w:pPr>
            <w:r>
              <w:t>路面</w:t>
            </w:r>
            <w:r>
              <w:br w:type="textWrapping"/>
            </w:r>
            <w:r>
              <w:t>材料</w:t>
            </w:r>
          </w:p>
        </w:tc>
        <w:tc>
          <w:tcPr>
            <w:shd w:val="clear" w:color="auto" w:fill="E6E6E6"/>
            <w:vAlign w:val="center"/>
          </w:tcPr>
          <w:p>
            <w:pPr>
              <w:jc w:val="center"/>
            </w:pPr>
            <w:r>
              <w:t>车道</w:t>
            </w:r>
            <w:r>
              <w:br w:type="textWrapping"/>
            </w:r>
            <w:r>
              <w:t>数量</w:t>
            </w:r>
          </w:p>
        </w:tc>
        <w:tc>
          <w:tcPr>
            <w:shd w:val="clear" w:color="auto" w:fill="E6E6E6"/>
            <w:vAlign w:val="center"/>
          </w:tcPr>
          <w:p>
            <w:pPr>
              <w:jc w:val="center"/>
            </w:pPr>
            <w:r>
              <w:t>时段</w:t>
            </w:r>
          </w:p>
        </w:tc>
        <w:tc>
          <w:tcPr>
            <w:shd w:val="clear" w:color="auto" w:fill="E6E6E6"/>
            <w:vAlign w:val="center"/>
          </w:tcPr>
          <w:p>
            <w:pPr>
              <w:jc w:val="center"/>
            </w:pPr>
            <w:r>
              <w:t>设计车速</w:t>
            </w:r>
            <w:r>
              <w:br w:type="textWrapping"/>
            </w:r>
            <w:r>
              <w:t>km/h</w:t>
            </w:r>
          </w:p>
        </w:tc>
        <w:tc>
          <w:tcPr>
            <w:shd w:val="clear" w:color="auto" w:fill="E6E6E6"/>
            <w:vAlign w:val="center"/>
          </w:tcPr>
          <w:p>
            <w:pPr>
              <w:jc w:val="center"/>
            </w:pPr>
            <w:r>
              <w:t>小型车</w:t>
            </w:r>
            <w:r>
              <w:br w:type="textWrapping"/>
            </w:r>
            <w:r>
              <w:t>辆/h</w:t>
            </w:r>
          </w:p>
        </w:tc>
        <w:tc>
          <w:tcPr>
            <w:shd w:val="clear" w:color="auto" w:fill="E6E6E6"/>
            <w:vAlign w:val="center"/>
          </w:tcPr>
          <w:p>
            <w:pPr>
              <w:jc w:val="center"/>
            </w:pPr>
            <w:r>
              <w:t>中型车</w:t>
            </w:r>
            <w:r>
              <w:br w:type="textWrapping"/>
            </w:r>
            <w:r>
              <w:t>辆/h</w:t>
            </w:r>
          </w:p>
        </w:tc>
        <w:tc>
          <w:tcPr>
            <w:shd w:val="clear" w:color="auto" w:fill="E6E6E6"/>
            <w:vAlign w:val="center"/>
          </w:tcPr>
          <w:p>
            <w:pPr>
              <w:jc w:val="center"/>
            </w:pPr>
            <w:r>
              <w:t>大型车</w:t>
            </w:r>
            <w:r>
              <w:br w:type="textWrapping"/>
            </w:r>
            <w: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益民路</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108</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83</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规划三路</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108</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83</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规划二路</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108</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83</w:t>
            </w:r>
          </w:p>
        </w:tc>
        <w:tc>
          <w:tcPr>
            <w:vAlign w:val="center"/>
          </w:tcPr>
          <w:p>
            <w:pPr>
              <w:jc w:val="center"/>
            </w:pPr>
            <w:r>
              <w:t>0</w:t>
            </w:r>
          </w:p>
        </w:tc>
        <w:tc>
          <w:tcPr>
            <w:vAlign w:val="center"/>
          </w:tcPr>
          <w:p>
            <w:pPr>
              <w:jc w:val="center"/>
            </w:pPr>
            <w:r>
              <w:t>0</w:t>
            </w:r>
          </w:p>
        </w:tc>
      </w:tr>
    </w:tbl>
    <w:p>
      <w:pPr>
        <w:ind w:firstLine="420"/>
        <w:jc w:val="center"/>
      </w:pPr>
    </w:p>
    <w:bookmarkEnd w:id="37"/>
    <w:p>
      <w:pPr>
        <w:ind w:firstLine="420"/>
        <w:jc w:val="center"/>
      </w:pPr>
    </w:p>
    <w:p>
      <w:pPr>
        <w:pStyle w:val="2"/>
        <w:spacing w:line="400" w:lineRule="exact"/>
        <w:rPr>
          <w:rFonts w:ascii="Times New Roman" w:hAnsi="Times New Roman"/>
          <w:sz w:val="28"/>
          <w:szCs w:val="28"/>
        </w:rPr>
      </w:pPr>
      <w:bookmarkStart w:id="38" w:name="_Toc479326727"/>
      <w:bookmarkStart w:id="39" w:name="_Toc26802"/>
      <w:r>
        <w:rPr>
          <w:rFonts w:hint="eastAsia" w:ascii="Times New Roman" w:hAnsi="Times New Roman"/>
          <w:sz w:val="28"/>
          <w:szCs w:val="28"/>
        </w:rPr>
        <w:t>4.模拟结果</w:t>
      </w:r>
      <w:r>
        <w:rPr>
          <w:rFonts w:ascii="Times New Roman" w:hAnsi="Times New Roman"/>
          <w:sz w:val="28"/>
          <w:szCs w:val="28"/>
        </w:rPr>
        <w:t>及分析</w:t>
      </w:r>
      <w:bookmarkEnd w:id="38"/>
      <w:bookmarkEnd w:id="39"/>
    </w:p>
    <w:p>
      <w:pPr>
        <w:ind w:firstLine="420" w:firstLineChars="200"/>
        <w:rPr>
          <w:rFonts w:ascii="Times New Roman" w:hAnsi="Times New Roman" w:cs="宋体"/>
          <w:szCs w:val="21"/>
        </w:rPr>
      </w:pPr>
      <w:bookmarkStart w:id="40" w:name="_Toc479326728"/>
      <w:r>
        <w:rPr>
          <w:rFonts w:hint="eastAsia" w:ascii="Times New Roman" w:hAnsi="Times New Roman" w:cs="宋体"/>
          <w:szCs w:val="21"/>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41" w:name="_Toc22146"/>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40"/>
      <w:bookmarkEnd w:id="41"/>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42" w:name="场地分布图昼"/>
      <w:bookmarkEnd w:id="42"/>
      <w:r>
        <w:drawing>
          <wp:inline distT="0" distB="0" distL="0" distR="0">
            <wp:extent cx="5667375" cy="5200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43" w:name="场地分布图夜"/>
      <w:bookmarkEnd w:id="43"/>
      <w:r>
        <w:drawing>
          <wp:inline distT="0" distB="0" distL="0" distR="0">
            <wp:extent cx="5667375" cy="52006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4" w:name="场地噪声分布俯瞰昼"/>
      <w:bookmarkEnd w:id="44"/>
      <w:r>
        <w:drawing>
          <wp:inline distT="0" distB="0" distL="0" distR="0">
            <wp:extent cx="5667375" cy="5200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5" w:name="场地噪声分布俯瞰夜"/>
      <w:bookmarkEnd w:id="45"/>
      <w:r>
        <w:drawing>
          <wp:inline distT="0" distB="0" distL="0" distR="0">
            <wp:extent cx="5667375" cy="5200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6" w:name="_Toc479326729"/>
      <w:bookmarkStart w:id="47" w:name="_Toc3148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6"/>
      <w:r>
        <w:rPr>
          <w:rFonts w:hint="eastAsia"/>
          <w:sz w:val="24"/>
          <w:szCs w:val="24"/>
        </w:rPr>
        <w:t>情况</w:t>
      </w:r>
      <w:bookmarkEnd w:id="47"/>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标，绿色填充代表该建筑物昼间或夜间噪声值均达标。</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8" w:name="建筑附近声压分布图昼"/>
      <w:bookmarkEnd w:id="48"/>
      <w:r>
        <w:drawing>
          <wp:inline distT="0" distB="0" distL="0" distR="0">
            <wp:extent cx="5667375" cy="5057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
                    <a:stretch>
                      <a:fillRect/>
                    </a:stretch>
                  </pic:blipFill>
                  <pic:spPr>
                    <a:xfrm>
                      <a:off x="0" y="0"/>
                      <a:ext cx="5667375" cy="50577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9" w:name="建筑附近声压分布图夜"/>
      <w:bookmarkEnd w:id="49"/>
      <w:r>
        <w:drawing>
          <wp:inline distT="0" distB="0" distL="0" distR="0">
            <wp:extent cx="5667375" cy="50577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7"/>
                    <a:stretch>
                      <a:fillRect/>
                    </a:stretch>
                  </pic:blipFill>
                  <pic:spPr>
                    <a:xfrm>
                      <a:off x="0" y="0"/>
                      <a:ext cx="5667375" cy="50577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50" w:name="建筑附近声压分布鸟瞰图昼"/>
      <w:r>
        <w:drawing>
          <wp:inline distT="0" distB="0" distL="0" distR="0">
            <wp:extent cx="5667375" cy="27527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9"/>
                    <a:stretch>
                      <a:fillRect/>
                    </a:stretch>
                  </pic:blipFill>
                  <pic:spPr>
                    <a:xfrm>
                      <a:off x="0" y="0"/>
                      <a:ext cx="5667375" cy="2752725"/>
                    </a:xfrm>
                    <a:prstGeom prst="rect">
                      <a:avLst/>
                    </a:prstGeom>
                  </pic:spPr>
                </pic:pic>
              </a:graphicData>
            </a:graphic>
          </wp:inline>
        </w:drawing>
      </w:r>
    </w:p>
    <w:bookmarkEnd w:id="50"/>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51" w:name="建筑附近声压分布鸟瞰图夜"/>
      <w:bookmarkEnd w:id="51"/>
      <w:r>
        <w:drawing>
          <wp:inline distT="0" distB="0" distL="0" distR="0">
            <wp:extent cx="5667375" cy="27527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0"/>
                    <a:stretch>
                      <a:fillRect/>
                    </a:stretch>
                  </pic:blipFill>
                  <pic:spPr>
                    <a:xfrm>
                      <a:off x="0" y="0"/>
                      <a:ext cx="5667375" cy="27527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autoSpaceDE w:val="0"/>
        <w:autoSpaceDN w:val="0"/>
        <w:adjustRightInd w:val="0"/>
        <w:spacing w:line="400" w:lineRule="exact"/>
        <w:jc w:val="center"/>
        <w:rPr>
          <w:rFonts w:ascii="Times New Roman" w:hAnsi="Times New Roman" w:eastAsia="华文楷体" w:cs="宋体"/>
          <w:szCs w:val="21"/>
        </w:rPr>
      </w:pPr>
    </w:p>
    <w:p>
      <w:pPr>
        <w:widowControl/>
        <w:jc w:val="center"/>
        <w:rPr>
          <w:rFonts w:ascii="Times New Roman" w:hAnsi="Times New Roman" w:eastAsia="华文楷体" w:cs="宋体"/>
          <w:szCs w:val="21"/>
        </w:rPr>
      </w:pP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综合上述分析，对声功能区内部每栋噪声敏感建筑物达标情况分别进行了判定统计，本项目声功能区内部全部参评建筑达标情况汇总如下：</w:t>
      </w:r>
      <w:bookmarkStart w:id="58" w:name="_GoBack"/>
      <w:bookmarkEnd w:id="58"/>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8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79"/>
        <w:gridCol w:w="1018"/>
        <w:gridCol w:w="1024"/>
        <w:gridCol w:w="1024"/>
        <w:gridCol w:w="1024"/>
        <w:gridCol w:w="1024"/>
        <w:gridCol w:w="98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建筑名称</w:t>
            </w:r>
          </w:p>
        </w:tc>
        <w:tc>
          <w:tcPr>
            <w:vMerge w:val="restart"/>
            <w:shd w:val="clear" w:color="auto" w:fill="E6E6E6"/>
            <w:vAlign w:val="center"/>
          </w:tcPr>
          <w:p>
            <w:pPr>
              <w:jc w:val="center"/>
            </w:pPr>
            <w:r>
              <w:t>声环境</w:t>
            </w:r>
            <w:r>
              <w:br w:type="textWrapping"/>
            </w:r>
            <w:r>
              <w:t>功能区</w:t>
            </w:r>
          </w:p>
        </w:tc>
        <w:tc>
          <w:tcPr>
            <w:gridSpan w:val="2"/>
            <w:shd w:val="clear" w:color="auto" w:fill="E6E6E6"/>
            <w:vAlign w:val="center"/>
          </w:tcPr>
          <w:p>
            <w:pPr>
              <w:jc w:val="center"/>
            </w:pPr>
            <w:r>
              <w:t>1.5米高度沿线</w:t>
            </w:r>
            <w:r>
              <w:br w:type="textWrapping"/>
            </w:r>
            <w:r>
              <w:t>噪声最大值</w:t>
            </w:r>
          </w:p>
        </w:tc>
        <w:tc>
          <w:tcPr>
            <w:gridSpan w:val="2"/>
            <w:shd w:val="clear" w:color="auto" w:fill="E6E6E6"/>
            <w:vAlign w:val="center"/>
          </w:tcPr>
          <w:p>
            <w:pPr>
              <w:jc w:val="center"/>
            </w:pPr>
            <w:r>
              <w:t>噪声限值</w:t>
            </w:r>
          </w:p>
        </w:tc>
        <w:tc>
          <w:tcPr>
            <w:vMerge w:val="restart"/>
            <w:shd w:val="clear" w:color="auto" w:fill="E6E6E6"/>
            <w:vAlign w:val="center"/>
          </w:tcPr>
          <w:p>
            <w:pPr>
              <w:jc w:val="center"/>
            </w:pPr>
            <w:r>
              <w:t>达标</w:t>
            </w:r>
            <w:r>
              <w:br w:type="textWrapping"/>
            </w: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vMerge w:val="continue"/>
            <w:shd w:val="clear" w:color="auto" w:fill="E6E6E6"/>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201</w:t>
            </w:r>
          </w:p>
        </w:tc>
        <w:tc>
          <w:tcPr>
            <w:vAlign w:val="center"/>
          </w:tcPr>
          <w:p>
            <w:pPr>
              <w:jc w:val="center"/>
            </w:pPr>
            <w:r>
              <w:t>2类</w:t>
            </w:r>
          </w:p>
        </w:tc>
        <w:tc>
          <w:tcPr>
            <w:vAlign w:val="center"/>
          </w:tcPr>
          <w:p>
            <w:pPr>
              <w:jc w:val="center"/>
            </w:pPr>
            <w:r>
              <w:t>49</w:t>
            </w:r>
          </w:p>
        </w:tc>
        <w:tc>
          <w:tcPr>
            <w:vAlign w:val="center"/>
          </w:tcPr>
          <w:p>
            <w:pPr>
              <w:jc w:val="center"/>
            </w:pPr>
            <w:r>
              <w:t>45</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202</w:t>
            </w:r>
          </w:p>
        </w:tc>
        <w:tc>
          <w:tcPr>
            <w:vAlign w:val="center"/>
          </w:tcPr>
          <w:p>
            <w:pPr>
              <w:jc w:val="center"/>
            </w:pPr>
            <w:r>
              <w:t>2类</w:t>
            </w:r>
          </w:p>
        </w:tc>
        <w:tc>
          <w:tcPr>
            <w:vAlign w:val="center"/>
          </w:tcPr>
          <w:p>
            <w:pPr>
              <w:jc w:val="center"/>
            </w:pPr>
            <w:r>
              <w:t>48</w:t>
            </w:r>
          </w:p>
        </w:tc>
        <w:tc>
          <w:tcPr>
            <w:vAlign w:val="center"/>
          </w:tcPr>
          <w:p>
            <w:pPr>
              <w:jc w:val="center"/>
            </w:pPr>
            <w:r>
              <w:t>44</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203-R</w:t>
            </w:r>
          </w:p>
        </w:tc>
        <w:tc>
          <w:tcPr>
            <w:vAlign w:val="center"/>
          </w:tcPr>
          <w:p>
            <w:pPr>
              <w:jc w:val="center"/>
            </w:pPr>
            <w:r>
              <w:t>2类</w:t>
            </w:r>
          </w:p>
        </w:tc>
        <w:tc>
          <w:tcPr>
            <w:vAlign w:val="center"/>
          </w:tcPr>
          <w:p>
            <w:pPr>
              <w:jc w:val="center"/>
            </w:pPr>
            <w:r>
              <w:t>42</w:t>
            </w:r>
          </w:p>
        </w:tc>
        <w:tc>
          <w:tcPr>
            <w:vAlign w:val="center"/>
          </w:tcPr>
          <w:p>
            <w:pPr>
              <w:jc w:val="center"/>
            </w:pPr>
            <w:r>
              <w:t>38</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203住宅</w:t>
            </w:r>
          </w:p>
        </w:tc>
        <w:tc>
          <w:tcPr>
            <w:vAlign w:val="center"/>
          </w:tcPr>
          <w:p>
            <w:pPr>
              <w:jc w:val="center"/>
            </w:pPr>
            <w:r>
              <w:t>2类</w:t>
            </w:r>
          </w:p>
        </w:tc>
        <w:tc>
          <w:tcPr>
            <w:vAlign w:val="center"/>
          </w:tcPr>
          <w:p>
            <w:pPr>
              <w:jc w:val="center"/>
            </w:pPr>
            <w:r>
              <w:t>53</w:t>
            </w:r>
          </w:p>
        </w:tc>
        <w:tc>
          <w:tcPr>
            <w:vAlign w:val="center"/>
          </w:tcPr>
          <w:p>
            <w:pPr>
              <w:jc w:val="center"/>
            </w:pPr>
            <w:r>
              <w:t>49</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203公建</w:t>
            </w:r>
          </w:p>
        </w:tc>
        <w:tc>
          <w:tcPr>
            <w:vAlign w:val="center"/>
          </w:tcPr>
          <w:p>
            <w:pPr>
              <w:jc w:val="center"/>
            </w:pPr>
            <w:r>
              <w:t>2类</w:t>
            </w:r>
          </w:p>
        </w:tc>
        <w:tc>
          <w:tcPr>
            <w:vAlign w:val="center"/>
          </w:tcPr>
          <w:p>
            <w:pPr>
              <w:jc w:val="center"/>
            </w:pPr>
            <w:r>
              <w:t>53</w:t>
            </w:r>
          </w:p>
        </w:tc>
        <w:tc>
          <w:tcPr>
            <w:vAlign w:val="center"/>
          </w:tcPr>
          <w:p>
            <w:pPr>
              <w:jc w:val="center"/>
            </w:pPr>
            <w:r>
              <w:t>49</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204</w:t>
            </w:r>
          </w:p>
        </w:tc>
        <w:tc>
          <w:tcPr>
            <w:vAlign w:val="center"/>
          </w:tcPr>
          <w:p>
            <w:pPr>
              <w:jc w:val="center"/>
            </w:pPr>
            <w:r>
              <w:t>2类</w:t>
            </w:r>
          </w:p>
        </w:tc>
        <w:tc>
          <w:tcPr>
            <w:vAlign w:val="center"/>
          </w:tcPr>
          <w:p>
            <w:pPr>
              <w:jc w:val="center"/>
            </w:pPr>
            <w:r>
              <w:t>47</w:t>
            </w:r>
          </w:p>
        </w:tc>
        <w:tc>
          <w:tcPr>
            <w:vAlign w:val="center"/>
          </w:tcPr>
          <w:p>
            <w:pPr>
              <w:jc w:val="center"/>
            </w:pPr>
            <w:r>
              <w:t>43</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205</w:t>
            </w:r>
          </w:p>
        </w:tc>
        <w:tc>
          <w:tcPr>
            <w:vAlign w:val="center"/>
          </w:tcPr>
          <w:p>
            <w:pPr>
              <w:jc w:val="center"/>
            </w:pPr>
            <w:r>
              <w:t>2类</w:t>
            </w:r>
          </w:p>
        </w:tc>
        <w:tc>
          <w:tcPr>
            <w:vAlign w:val="center"/>
          </w:tcPr>
          <w:p>
            <w:pPr>
              <w:jc w:val="center"/>
            </w:pPr>
            <w:r>
              <w:t>37</w:t>
            </w:r>
          </w:p>
        </w:tc>
        <w:tc>
          <w:tcPr>
            <w:vAlign w:val="center"/>
          </w:tcPr>
          <w:p>
            <w:pPr>
              <w:jc w:val="center"/>
            </w:pPr>
            <w:r>
              <w:t>33</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206</w:t>
            </w:r>
          </w:p>
        </w:tc>
        <w:tc>
          <w:tcPr>
            <w:vAlign w:val="center"/>
          </w:tcPr>
          <w:p>
            <w:pPr>
              <w:jc w:val="center"/>
            </w:pPr>
            <w:r>
              <w:t>2类</w:t>
            </w:r>
          </w:p>
        </w:tc>
        <w:tc>
          <w:tcPr>
            <w:vAlign w:val="center"/>
          </w:tcPr>
          <w:p>
            <w:pPr>
              <w:jc w:val="center"/>
            </w:pPr>
            <w:r>
              <w:t>53</w:t>
            </w:r>
          </w:p>
        </w:tc>
        <w:tc>
          <w:tcPr>
            <w:vAlign w:val="center"/>
          </w:tcPr>
          <w:p>
            <w:pPr>
              <w:jc w:val="center"/>
            </w:pPr>
            <w:r>
              <w:t>49</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207</w:t>
            </w:r>
          </w:p>
        </w:tc>
        <w:tc>
          <w:tcPr>
            <w:vAlign w:val="center"/>
          </w:tcPr>
          <w:p>
            <w:pPr>
              <w:jc w:val="center"/>
            </w:pPr>
            <w:r>
              <w:t>2类</w:t>
            </w:r>
          </w:p>
        </w:tc>
        <w:tc>
          <w:tcPr>
            <w:vAlign w:val="center"/>
          </w:tcPr>
          <w:p>
            <w:pPr>
              <w:jc w:val="center"/>
            </w:pPr>
            <w:r>
              <w:t>47</w:t>
            </w:r>
          </w:p>
        </w:tc>
        <w:tc>
          <w:tcPr>
            <w:vAlign w:val="center"/>
          </w:tcPr>
          <w:p>
            <w:pPr>
              <w:jc w:val="center"/>
            </w:pPr>
            <w:r>
              <w:t>43</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208</w:t>
            </w:r>
          </w:p>
        </w:tc>
        <w:tc>
          <w:tcPr>
            <w:vAlign w:val="center"/>
          </w:tcPr>
          <w:p>
            <w:pPr>
              <w:jc w:val="center"/>
            </w:pPr>
            <w:r>
              <w:t>2类</w:t>
            </w:r>
          </w:p>
        </w:tc>
        <w:tc>
          <w:tcPr>
            <w:vAlign w:val="center"/>
          </w:tcPr>
          <w:p>
            <w:pPr>
              <w:jc w:val="center"/>
            </w:pPr>
            <w:r>
              <w:t>35</w:t>
            </w:r>
          </w:p>
        </w:tc>
        <w:tc>
          <w:tcPr>
            <w:vAlign w:val="center"/>
          </w:tcPr>
          <w:p>
            <w:pPr>
              <w:jc w:val="center"/>
            </w:pPr>
            <w:r>
              <w:t>31</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209</w:t>
            </w:r>
          </w:p>
        </w:tc>
        <w:tc>
          <w:tcPr>
            <w:vAlign w:val="center"/>
          </w:tcPr>
          <w:p>
            <w:pPr>
              <w:jc w:val="center"/>
            </w:pPr>
            <w:r>
              <w:t>2类</w:t>
            </w:r>
          </w:p>
        </w:tc>
        <w:tc>
          <w:tcPr>
            <w:vAlign w:val="center"/>
          </w:tcPr>
          <w:p>
            <w:pPr>
              <w:jc w:val="center"/>
            </w:pPr>
            <w:r>
              <w:t>36</w:t>
            </w:r>
          </w:p>
        </w:tc>
        <w:tc>
          <w:tcPr>
            <w:vAlign w:val="center"/>
          </w:tcPr>
          <w:p>
            <w:pPr>
              <w:jc w:val="center"/>
            </w:pPr>
            <w:r>
              <w:t>32</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210</w:t>
            </w:r>
          </w:p>
        </w:tc>
        <w:tc>
          <w:tcPr>
            <w:vAlign w:val="center"/>
          </w:tcPr>
          <w:p>
            <w:pPr>
              <w:jc w:val="center"/>
            </w:pPr>
            <w:r>
              <w:t>2类</w:t>
            </w:r>
          </w:p>
        </w:tc>
        <w:tc>
          <w:tcPr>
            <w:vAlign w:val="center"/>
          </w:tcPr>
          <w:p>
            <w:pPr>
              <w:jc w:val="center"/>
            </w:pPr>
            <w:r>
              <w:t>46</w:t>
            </w:r>
          </w:p>
        </w:tc>
        <w:tc>
          <w:tcPr>
            <w:vAlign w:val="center"/>
          </w:tcPr>
          <w:p>
            <w:pPr>
              <w:jc w:val="center"/>
            </w:pPr>
            <w:r>
              <w:t>42</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211</w:t>
            </w:r>
          </w:p>
        </w:tc>
        <w:tc>
          <w:tcPr>
            <w:vAlign w:val="center"/>
          </w:tcPr>
          <w:p>
            <w:pPr>
              <w:jc w:val="center"/>
            </w:pPr>
            <w:r>
              <w:t>2类</w:t>
            </w:r>
          </w:p>
        </w:tc>
        <w:tc>
          <w:tcPr>
            <w:vAlign w:val="center"/>
          </w:tcPr>
          <w:p>
            <w:pPr>
              <w:jc w:val="center"/>
            </w:pPr>
            <w:r>
              <w:t>52</w:t>
            </w:r>
          </w:p>
        </w:tc>
        <w:tc>
          <w:tcPr>
            <w:vAlign w:val="center"/>
          </w:tcPr>
          <w:p>
            <w:pPr>
              <w:jc w:val="center"/>
            </w:pPr>
            <w:r>
              <w:t>48</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212</w:t>
            </w:r>
          </w:p>
        </w:tc>
        <w:tc>
          <w:tcPr>
            <w:vAlign w:val="center"/>
          </w:tcPr>
          <w:p>
            <w:pPr>
              <w:jc w:val="center"/>
            </w:pPr>
            <w:r>
              <w:t>2类</w:t>
            </w:r>
          </w:p>
        </w:tc>
        <w:tc>
          <w:tcPr>
            <w:vAlign w:val="center"/>
          </w:tcPr>
          <w:p>
            <w:pPr>
              <w:jc w:val="center"/>
            </w:pPr>
            <w:r>
              <w:t>39</w:t>
            </w:r>
          </w:p>
        </w:tc>
        <w:tc>
          <w:tcPr>
            <w:vAlign w:val="center"/>
          </w:tcPr>
          <w:p>
            <w:pPr>
              <w:jc w:val="center"/>
            </w:pPr>
            <w:r>
              <w:t>34</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bl>
    <w:p>
      <w:pPr>
        <w:widowControl/>
        <w:jc w:val="center"/>
        <w:rPr>
          <w:rFonts w:ascii="Times New Roman" w:hAnsi="Times New Roman"/>
          <w:szCs w:val="21"/>
        </w:rPr>
      </w:pPr>
      <w:bookmarkStart w:id="52" w:name="建筑物噪声最大值统计表格"/>
      <w:bookmarkEnd w:id="52"/>
    </w:p>
    <w:p>
      <w:pPr>
        <w:pStyle w:val="2"/>
        <w:rPr>
          <w:rFonts w:ascii="Times New Roman" w:hAnsi="Times New Roman"/>
          <w:sz w:val="28"/>
          <w:szCs w:val="28"/>
        </w:rPr>
      </w:pPr>
      <w:bookmarkStart w:id="53" w:name="_Toc479326730"/>
      <w:bookmarkStart w:id="54" w:name="_Toc26895"/>
      <w:r>
        <w:rPr>
          <w:rFonts w:hint="eastAsia" w:ascii="Times New Roman" w:hAnsi="Times New Roman"/>
          <w:sz w:val="28"/>
          <w:szCs w:val="28"/>
        </w:rPr>
        <w:t>5.结论</w:t>
      </w:r>
      <w:bookmarkEnd w:id="53"/>
      <w:bookmarkEnd w:id="54"/>
    </w:p>
    <w:p>
      <w:pPr>
        <w:ind w:firstLine="420" w:firstLineChars="200"/>
      </w:pPr>
      <w:r>
        <w:rPr>
          <w:rFonts w:hint="eastAsia"/>
        </w:rPr>
        <w:t>综上所述，经过软件模拟和结果统计分析，最终判定本项目</w:t>
      </w:r>
      <w:bookmarkStart w:id="55" w:name="满足结论"/>
      <w:r>
        <w:rPr>
          <w:rFonts w:hint="eastAsia"/>
          <w:b/>
        </w:rPr>
        <w:t>满足</w:t>
      </w:r>
      <w:bookmarkEnd w:id="55"/>
      <w:r>
        <w:rPr>
          <w:rFonts w:hint="eastAsia"/>
        </w:rPr>
        <w:t>《绿色建筑评价标准》</w:t>
      </w:r>
      <w:r>
        <w:t>GB</w:t>
      </w:r>
      <w:r>
        <w:rPr>
          <w:rFonts w:hint="eastAsia"/>
        </w:rPr>
        <w:t xml:space="preserve"> </w:t>
      </w:r>
      <w:r>
        <w:t>50378-20</w:t>
      </w:r>
      <w:r>
        <w:rPr>
          <w:rFonts w:hint="eastAsia"/>
        </w:rPr>
        <w:t>14第4.2.5条，</w:t>
      </w:r>
      <w:bookmarkStart w:id="56" w:name="得分结论"/>
      <w:r>
        <w:rPr>
          <w:b/>
        </w:rPr>
        <w:t>得 4 分</w:t>
      </w:r>
      <w:bookmarkEnd w:id="56"/>
      <w:r>
        <w:rPr>
          <w:rFonts w:hint="eastAsia"/>
          <w:b/>
        </w:rPr>
        <w:t>。</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ascii="黑体" w:hAnsi="黑体" w:eastAsia="黑体"/>
          <w:kern w:val="0"/>
          <w:szCs w:val="20"/>
        </w:rPr>
        <w:t xml:space="preserve">      </w:t>
      </w:r>
      <w:r>
        <w:rPr>
          <w:rFonts w:hint="eastAsia" w:ascii="黑体" w:hAnsi="黑体" w:eastAsia="黑体"/>
          <w:kern w:val="0"/>
          <w:szCs w:val="20"/>
        </w:rPr>
        <w:t>表5</w:t>
      </w:r>
      <w:r>
        <w:rPr>
          <w:rFonts w:ascii="黑体" w:hAnsi="黑体" w:eastAsia="黑体"/>
          <w:kern w:val="0"/>
          <w:szCs w:val="20"/>
        </w:rPr>
        <w:t xml:space="preserve">-1 </w:t>
      </w:r>
      <w:r>
        <w:rPr>
          <w:rFonts w:eastAsia="黑体" w:cs="Calibri"/>
          <w:kern w:val="0"/>
          <w:szCs w:val="20"/>
        </w:rPr>
        <w:t xml:space="preserve"> </w:t>
      </w:r>
      <w:r>
        <w:rPr>
          <w:rFonts w:ascii="黑体" w:hAnsi="黑体" w:eastAsia="黑体"/>
          <w:kern w:val="0"/>
          <w:szCs w:val="20"/>
        </w:rPr>
        <w:t>声功能区达标</w:t>
      </w:r>
      <w:r>
        <w:rPr>
          <w:rFonts w:hint="eastAsia" w:ascii="黑体" w:hAnsi="黑体" w:eastAsia="黑体"/>
          <w:kern w:val="0"/>
          <w:szCs w:val="20"/>
        </w:rPr>
        <w:t xml:space="preserve">统计表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8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1"/>
        <w:gridCol w:w="877"/>
        <w:gridCol w:w="1641"/>
        <w:gridCol w:w="911"/>
        <w:gridCol w:w="911"/>
        <w:gridCol w:w="911"/>
        <w:gridCol w:w="911"/>
        <w:gridCol w:w="98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restart"/>
            <w:shd w:val="clear" w:color="auto" w:fill="E6E6E6"/>
            <w:vAlign w:val="center"/>
          </w:tcPr>
          <w:p>
            <w:pPr>
              <w:jc w:val="center"/>
            </w:pPr>
            <w:r>
              <w:t>名称</w:t>
            </w:r>
          </w:p>
        </w:tc>
        <w:tc>
          <w:tcPr>
            <w:vMerge w:val="restart"/>
            <w:shd w:val="clear" w:color="auto" w:fill="E6E6E6"/>
            <w:vAlign w:val="center"/>
          </w:tcPr>
          <w:p>
            <w:pPr>
              <w:jc w:val="center"/>
            </w:pPr>
            <w:r>
              <w:t>类型</w:t>
            </w:r>
          </w:p>
        </w:tc>
        <w:tc>
          <w:tcPr>
            <w:vMerge w:val="restart"/>
            <w:shd w:val="clear" w:color="auto" w:fill="E6E6E6"/>
            <w:vAlign w:val="center"/>
          </w:tcPr>
          <w:p>
            <w:pPr>
              <w:jc w:val="center"/>
            </w:pPr>
            <w:r>
              <w:t>包含建筑</w:t>
            </w:r>
          </w:p>
        </w:tc>
        <w:tc>
          <w:tcPr>
            <w:gridSpan w:val="2"/>
            <w:shd w:val="clear" w:color="auto" w:fill="E6E6E6"/>
            <w:vAlign w:val="center"/>
          </w:tcPr>
          <w:p>
            <w:pPr>
              <w:jc w:val="center"/>
            </w:pPr>
            <w:r>
              <w:t>噪声最大值</w:t>
            </w:r>
          </w:p>
        </w:tc>
        <w:tc>
          <w:tcPr>
            <w:gridSpan w:val="2"/>
            <w:shd w:val="clear" w:color="auto" w:fill="E6E6E6"/>
            <w:vAlign w:val="center"/>
          </w:tcPr>
          <w:p>
            <w:pPr>
              <w:jc w:val="center"/>
            </w:pPr>
            <w:r>
              <w:t>噪声限值</w:t>
            </w:r>
          </w:p>
        </w:tc>
        <w:tc>
          <w:tcPr>
            <w:vMerge w:val="restart"/>
            <w:shd w:val="clear" w:color="auto" w:fill="E6E6E6"/>
            <w:vAlign w:val="center"/>
          </w:tcPr>
          <w:p>
            <w:pPr>
              <w:jc w:val="center"/>
            </w:pPr>
            <w:r>
              <w:t>达标</w:t>
            </w:r>
            <w:r>
              <w:br w:type="textWrapping"/>
            </w: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shd w:val="clear" w:color="auto" w:fill="E6E6E6"/>
            <w:vAlign w:val="center"/>
          </w:tcPr>
          <w:p/>
        </w:tc>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vMerge w:val="continue"/>
            <w:shd w:val="clear" w:color="auto" w:fill="E6E6E6"/>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Align w:val="center"/>
          </w:tcPr>
          <w:p>
            <w:pPr>
              <w:jc w:val="center"/>
            </w:pPr>
            <w:r>
              <w:t>C-02</w:t>
            </w:r>
          </w:p>
        </w:tc>
        <w:tc>
          <w:tcPr>
            <w:vAlign w:val="center"/>
          </w:tcPr>
          <w:p>
            <w:pPr>
              <w:jc w:val="center"/>
            </w:pPr>
            <w:r>
              <w:t>2类</w:t>
            </w:r>
          </w:p>
        </w:tc>
        <w:tc>
          <w:tcPr>
            <w:vAlign w:val="center"/>
          </w:tcPr>
          <w:p>
            <w:pPr>
              <w:jc w:val="center"/>
            </w:pPr>
            <w:r>
              <w:t>201 202 203-R 203住宅 203公建 204 205 206 207 208 209 210 211 212</w:t>
            </w:r>
          </w:p>
        </w:tc>
        <w:tc>
          <w:tcPr>
            <w:vAlign w:val="center"/>
          </w:tcPr>
          <w:p>
            <w:pPr>
              <w:jc w:val="center"/>
            </w:pPr>
            <w:r>
              <w:t>53</w:t>
            </w:r>
          </w:p>
        </w:tc>
        <w:tc>
          <w:tcPr>
            <w:vAlign w:val="center"/>
          </w:tcPr>
          <w:p>
            <w:pPr>
              <w:jc w:val="center"/>
            </w:pPr>
            <w:r>
              <w:t>49</w:t>
            </w:r>
          </w:p>
        </w:tc>
        <w:tc>
          <w:tcPr>
            <w:vAlign w:val="center"/>
          </w:tcPr>
          <w:p>
            <w:pPr>
              <w:jc w:val="center"/>
            </w:pPr>
            <w:r>
              <w:t>60</w:t>
            </w:r>
          </w:p>
        </w:tc>
        <w:tc>
          <w:tcPr>
            <w:vAlign w:val="center"/>
          </w:tcPr>
          <w:p>
            <w:pPr>
              <w:jc w:val="center"/>
            </w:pPr>
            <w:r>
              <w:t>50</w:t>
            </w:r>
          </w:p>
        </w:tc>
        <w:tc>
          <w:tcPr>
            <w:vAlign w:val="center"/>
          </w:tcPr>
          <w:p>
            <w:pPr>
              <w:jc w:val="center"/>
            </w:pPr>
            <w:r>
              <w:rPr>
                <w:b/>
              </w:rPr>
              <w:t>达标</w:t>
            </w:r>
          </w:p>
        </w:tc>
      </w:tr>
    </w:tbl>
    <w:p>
      <w:pPr>
        <w:widowControl/>
        <w:jc w:val="center"/>
        <w:rPr>
          <w:rFonts w:ascii="Times New Roman" w:hAnsi="Times New Roman"/>
          <w:szCs w:val="21"/>
        </w:rPr>
      </w:pPr>
      <w:bookmarkStart w:id="57" w:name="声功能区评价表"/>
      <w:bookmarkEnd w:id="57"/>
    </w:p>
    <w:p>
      <w:pPr>
        <w:widowControl/>
        <w:jc w:val="center"/>
        <w:rPr>
          <w:rFonts w:ascii="Times New Roman" w:hAnsi="Times New Roman"/>
          <w:szCs w:val="21"/>
        </w:rPr>
      </w:pPr>
    </w:p>
    <w:p>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kern w:val="0"/>
        <w:sz w:val="21"/>
        <w:szCs w:val="20"/>
        <w:lang w:val="en-GB"/>
      </w:rPr>
      <w:fldChar w:fldCharType="begin"/>
    </w:r>
    <w:r>
      <w:rPr>
        <w:kern w:val="0"/>
        <w:sz w:val="21"/>
        <w:szCs w:val="20"/>
        <w:lang w:val="en-GB"/>
      </w:rPr>
      <w:instrText xml:space="preserve"> PAGE  \* Arabic  \* MERGEFORMAT </w:instrText>
    </w:r>
    <w:r>
      <w:rPr>
        <w:kern w:val="0"/>
        <w:sz w:val="21"/>
        <w:szCs w:val="20"/>
        <w:lang w:val="en-GB"/>
      </w:rPr>
      <w:fldChar w:fldCharType="separate"/>
    </w:r>
    <w:r>
      <w:rPr>
        <w:kern w:val="0"/>
        <w:sz w:val="21"/>
        <w:szCs w:val="20"/>
        <w:lang w:val="en-GB"/>
      </w:rPr>
      <w:t>2</w:t>
    </w:r>
    <w:r>
      <w:rPr>
        <w:kern w:val="0"/>
        <w:sz w:val="21"/>
        <w:szCs w:val="20"/>
        <w:lang w:val="en-GB"/>
      </w:rPr>
      <w:fldChar w:fldCharType="end"/>
    </w:r>
    <w:r>
      <w:rPr>
        <w:b/>
        <w:kern w:val="0"/>
        <w:sz w:val="21"/>
        <w:szCs w:val="20"/>
        <w:lang w:val="en-GB"/>
      </w:rPr>
      <w:t>/</w:t>
    </w:r>
    <w:r>
      <w:rPr>
        <w:kern w:val="0"/>
        <w:sz w:val="21"/>
        <w:szCs w:val="20"/>
        <w:lang w:val="en-GB"/>
      </w:rPr>
      <w:fldChar w:fldCharType="begin"/>
    </w:r>
    <w:r>
      <w:rPr>
        <w:kern w:val="0"/>
        <w:sz w:val="21"/>
        <w:szCs w:val="20"/>
        <w:lang w:val="en-GB"/>
      </w:rPr>
      <w:instrText xml:space="preserve"> NUMPAGES  \* Arabic  \* MERGEFORMAT </w:instrText>
    </w:r>
    <w:r>
      <w:rPr>
        <w:kern w:val="0"/>
        <w:sz w:val="21"/>
        <w:szCs w:val="20"/>
        <w:lang w:val="en-GB"/>
      </w:rPr>
      <w:fldChar w:fldCharType="separate"/>
    </w:r>
    <w:r>
      <w:rPr>
        <w:kern w:val="0"/>
        <w:sz w:val="21"/>
        <w:szCs w:val="20"/>
        <w:lang w:val="en-GB"/>
      </w:rPr>
      <w:t>6</w:t>
    </w:r>
    <w:r>
      <w:rPr>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0335B"/>
    <w:multiLevelType w:val="multilevel"/>
    <w:tmpl w:val="36703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F3329A9"/>
    <w:rsid w:val="00003EBD"/>
    <w:rsid w:val="00005A86"/>
    <w:rsid w:val="00042D61"/>
    <w:rsid w:val="00043921"/>
    <w:rsid w:val="00044BB2"/>
    <w:rsid w:val="000470A4"/>
    <w:rsid w:val="00052BAF"/>
    <w:rsid w:val="00063A75"/>
    <w:rsid w:val="00063DFD"/>
    <w:rsid w:val="0007058E"/>
    <w:rsid w:val="000806A6"/>
    <w:rsid w:val="000820BA"/>
    <w:rsid w:val="0008748F"/>
    <w:rsid w:val="00087A9D"/>
    <w:rsid w:val="00097D9C"/>
    <w:rsid w:val="000A2712"/>
    <w:rsid w:val="000A35F0"/>
    <w:rsid w:val="000A3E0F"/>
    <w:rsid w:val="000B2E7E"/>
    <w:rsid w:val="000B681A"/>
    <w:rsid w:val="000D1F24"/>
    <w:rsid w:val="000D2CA4"/>
    <w:rsid w:val="000D3259"/>
    <w:rsid w:val="000D59E9"/>
    <w:rsid w:val="000D6A5A"/>
    <w:rsid w:val="000D6A8E"/>
    <w:rsid w:val="000E679C"/>
    <w:rsid w:val="000F5824"/>
    <w:rsid w:val="000F5A88"/>
    <w:rsid w:val="000F6479"/>
    <w:rsid w:val="000F6689"/>
    <w:rsid w:val="0010421D"/>
    <w:rsid w:val="001128B4"/>
    <w:rsid w:val="00112D2D"/>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936E0"/>
    <w:rsid w:val="001A503F"/>
    <w:rsid w:val="001A52EC"/>
    <w:rsid w:val="001B13F9"/>
    <w:rsid w:val="001C2917"/>
    <w:rsid w:val="001C5401"/>
    <w:rsid w:val="001D3231"/>
    <w:rsid w:val="001D603E"/>
    <w:rsid w:val="001D6444"/>
    <w:rsid w:val="001D68D9"/>
    <w:rsid w:val="001E372E"/>
    <w:rsid w:val="001E4E43"/>
    <w:rsid w:val="001F27D7"/>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6D8D"/>
    <w:rsid w:val="002B23BF"/>
    <w:rsid w:val="002B262A"/>
    <w:rsid w:val="002B328B"/>
    <w:rsid w:val="002B3AC4"/>
    <w:rsid w:val="002C05E5"/>
    <w:rsid w:val="002C4D9C"/>
    <w:rsid w:val="002C64DD"/>
    <w:rsid w:val="002D393A"/>
    <w:rsid w:val="002E59ED"/>
    <w:rsid w:val="00304975"/>
    <w:rsid w:val="00306A09"/>
    <w:rsid w:val="00310B3F"/>
    <w:rsid w:val="00317EBE"/>
    <w:rsid w:val="0032154B"/>
    <w:rsid w:val="00321C1D"/>
    <w:rsid w:val="003313D3"/>
    <w:rsid w:val="003466B3"/>
    <w:rsid w:val="003615F5"/>
    <w:rsid w:val="00361C9E"/>
    <w:rsid w:val="00361D43"/>
    <w:rsid w:val="0036785B"/>
    <w:rsid w:val="00373CAE"/>
    <w:rsid w:val="003834A3"/>
    <w:rsid w:val="0038426F"/>
    <w:rsid w:val="00385B5B"/>
    <w:rsid w:val="003A2571"/>
    <w:rsid w:val="003A3902"/>
    <w:rsid w:val="003A4F31"/>
    <w:rsid w:val="003B0E86"/>
    <w:rsid w:val="003C00D1"/>
    <w:rsid w:val="003C52B9"/>
    <w:rsid w:val="003C6CFE"/>
    <w:rsid w:val="003C7732"/>
    <w:rsid w:val="003D67A0"/>
    <w:rsid w:val="003D67D5"/>
    <w:rsid w:val="003F1246"/>
    <w:rsid w:val="003F2A13"/>
    <w:rsid w:val="003F5C42"/>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82112"/>
    <w:rsid w:val="00595E38"/>
    <w:rsid w:val="00596BBF"/>
    <w:rsid w:val="005B53A0"/>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1A39"/>
    <w:rsid w:val="006A4C1D"/>
    <w:rsid w:val="006B44E5"/>
    <w:rsid w:val="006B4A8B"/>
    <w:rsid w:val="006D07B4"/>
    <w:rsid w:val="006E13AB"/>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A71B7"/>
    <w:rsid w:val="007B3895"/>
    <w:rsid w:val="007D0F85"/>
    <w:rsid w:val="007D1479"/>
    <w:rsid w:val="007D35E4"/>
    <w:rsid w:val="007F30C9"/>
    <w:rsid w:val="007F7D94"/>
    <w:rsid w:val="008010F1"/>
    <w:rsid w:val="008050F2"/>
    <w:rsid w:val="00814755"/>
    <w:rsid w:val="00815E72"/>
    <w:rsid w:val="00816591"/>
    <w:rsid w:val="00817805"/>
    <w:rsid w:val="00825363"/>
    <w:rsid w:val="00831DA2"/>
    <w:rsid w:val="008325DF"/>
    <w:rsid w:val="0083700A"/>
    <w:rsid w:val="00841238"/>
    <w:rsid w:val="008428AD"/>
    <w:rsid w:val="008478D5"/>
    <w:rsid w:val="00852FCF"/>
    <w:rsid w:val="00854D3C"/>
    <w:rsid w:val="00855EB3"/>
    <w:rsid w:val="008658B5"/>
    <w:rsid w:val="00871BF4"/>
    <w:rsid w:val="00872BEE"/>
    <w:rsid w:val="008815E2"/>
    <w:rsid w:val="008904B8"/>
    <w:rsid w:val="008952FE"/>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3D06"/>
    <w:rsid w:val="00A1358C"/>
    <w:rsid w:val="00A14505"/>
    <w:rsid w:val="00A2499E"/>
    <w:rsid w:val="00A273DD"/>
    <w:rsid w:val="00A33916"/>
    <w:rsid w:val="00A33B09"/>
    <w:rsid w:val="00A41019"/>
    <w:rsid w:val="00A459DC"/>
    <w:rsid w:val="00A45A72"/>
    <w:rsid w:val="00A47CAC"/>
    <w:rsid w:val="00A50703"/>
    <w:rsid w:val="00A53BBE"/>
    <w:rsid w:val="00A53E61"/>
    <w:rsid w:val="00A61B39"/>
    <w:rsid w:val="00A6412D"/>
    <w:rsid w:val="00A65874"/>
    <w:rsid w:val="00A65905"/>
    <w:rsid w:val="00A6686B"/>
    <w:rsid w:val="00A70F4E"/>
    <w:rsid w:val="00A91269"/>
    <w:rsid w:val="00AD22B2"/>
    <w:rsid w:val="00AD4D6B"/>
    <w:rsid w:val="00AE13B4"/>
    <w:rsid w:val="00AE5699"/>
    <w:rsid w:val="00AE7A72"/>
    <w:rsid w:val="00AF1538"/>
    <w:rsid w:val="00B07594"/>
    <w:rsid w:val="00B3552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6E1D"/>
    <w:rsid w:val="00C01E96"/>
    <w:rsid w:val="00C02B5F"/>
    <w:rsid w:val="00C03121"/>
    <w:rsid w:val="00C22B99"/>
    <w:rsid w:val="00C30F8E"/>
    <w:rsid w:val="00C4220C"/>
    <w:rsid w:val="00C52DAB"/>
    <w:rsid w:val="00C56A9D"/>
    <w:rsid w:val="00C56B9C"/>
    <w:rsid w:val="00C56E7B"/>
    <w:rsid w:val="00C57696"/>
    <w:rsid w:val="00C6137E"/>
    <w:rsid w:val="00C833CF"/>
    <w:rsid w:val="00C87391"/>
    <w:rsid w:val="00C87838"/>
    <w:rsid w:val="00C9594B"/>
    <w:rsid w:val="00CB55E1"/>
    <w:rsid w:val="00CB7F92"/>
    <w:rsid w:val="00CC6908"/>
    <w:rsid w:val="00CD388B"/>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612AF"/>
    <w:rsid w:val="00D62874"/>
    <w:rsid w:val="00D650C0"/>
    <w:rsid w:val="00D71C25"/>
    <w:rsid w:val="00D73004"/>
    <w:rsid w:val="00D83B4F"/>
    <w:rsid w:val="00D95A1F"/>
    <w:rsid w:val="00DA60F0"/>
    <w:rsid w:val="00DA710A"/>
    <w:rsid w:val="00DC15F5"/>
    <w:rsid w:val="00DD0A81"/>
    <w:rsid w:val="00DF0317"/>
    <w:rsid w:val="00E10BC1"/>
    <w:rsid w:val="00E1295C"/>
    <w:rsid w:val="00E139F7"/>
    <w:rsid w:val="00E258A2"/>
    <w:rsid w:val="00E32D9A"/>
    <w:rsid w:val="00E35FA5"/>
    <w:rsid w:val="00E44371"/>
    <w:rsid w:val="00E56749"/>
    <w:rsid w:val="00E61309"/>
    <w:rsid w:val="00E62B08"/>
    <w:rsid w:val="00E647E1"/>
    <w:rsid w:val="00E8103F"/>
    <w:rsid w:val="00E8229B"/>
    <w:rsid w:val="00E868D9"/>
    <w:rsid w:val="00E87B96"/>
    <w:rsid w:val="00E94AEB"/>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8780D"/>
    <w:rsid w:val="00F95680"/>
    <w:rsid w:val="00FA060E"/>
    <w:rsid w:val="00FA0657"/>
    <w:rsid w:val="00FB0C2B"/>
    <w:rsid w:val="00FB751F"/>
    <w:rsid w:val="00FC2740"/>
    <w:rsid w:val="00FC5C1E"/>
    <w:rsid w:val="00FC792A"/>
    <w:rsid w:val="00FD4B97"/>
    <w:rsid w:val="00FD633D"/>
    <w:rsid w:val="00FE2DCA"/>
    <w:rsid w:val="00FF1FA5"/>
    <w:rsid w:val="00FF21E4"/>
    <w:rsid w:val="00FF4D64"/>
    <w:rsid w:val="5F332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0"/>
    <w:rPr>
      <w:rFonts w:ascii="微软雅黑" w:hAnsi="微软雅黑" w:eastAsia="微软雅黑" w:cs="微软雅黑"/>
      <w:kern w:val="2"/>
      <w:sz w:val="18"/>
      <w:szCs w:val="18"/>
    </w:rPr>
  </w:style>
  <w:style w:type="character" w:customStyle="1" w:styleId="22">
    <w:name w:val="页脚 字符"/>
    <w:link w:val="10"/>
    <w:qFormat/>
    <w:uiPriority w:val="0"/>
    <w:rPr>
      <w:rFonts w:ascii="微软雅黑" w:hAnsi="微软雅黑" w:eastAsia="微软雅黑" w:cs="微软雅黑"/>
      <w:kern w:val="2"/>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rFonts w:ascii="微软雅黑" w:hAnsi="微软雅黑" w:eastAsia="微软雅黑" w:cs="微软雅黑"/>
      <w:b/>
      <w:bCs/>
      <w:kern w:val="2"/>
      <w:sz w:val="32"/>
      <w:szCs w:val="32"/>
    </w:rPr>
  </w:style>
  <w:style w:type="character" w:customStyle="1" w:styleId="27">
    <w:name w:val="标题 4 字符"/>
    <w:link w:val="5"/>
    <w:qFormat/>
    <w:uiPriority w:val="9"/>
    <w:rPr>
      <w:rFonts w:ascii="Cambria" w:hAnsi="Cambria" w:eastAsia="微软雅黑" w:cs="微软雅黑"/>
      <w:b/>
      <w:bCs/>
      <w:kern w:val="2"/>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rFonts w:ascii="微软雅黑" w:hAnsi="微软雅黑" w:eastAsia="微软雅黑" w:cs="微软雅黑"/>
      <w:b/>
      <w:bCs/>
      <w:kern w:val="2"/>
      <w:sz w:val="28"/>
      <w:szCs w:val="28"/>
    </w:rPr>
  </w:style>
  <w:style w:type="character" w:customStyle="1" w:styleId="30">
    <w:name w:val="批注文字 字符"/>
    <w:basedOn w:val="17"/>
    <w:link w:val="7"/>
    <w:semiHidden/>
    <w:qFormat/>
    <w:uiPriority w:val="99"/>
    <w:rPr>
      <w:rFonts w:ascii="微软雅黑" w:hAnsi="微软雅黑" w:eastAsia="微软雅黑" w:cs="微软雅黑"/>
      <w:kern w:val="2"/>
      <w:sz w:val="21"/>
      <w:szCs w:val="22"/>
    </w:rPr>
  </w:style>
  <w:style w:type="character" w:customStyle="1" w:styleId="31">
    <w:name w:val="批注主题 字符"/>
    <w:link w:val="14"/>
    <w:semiHidden/>
    <w:qFormat/>
    <w:uiPriority w:val="99"/>
    <w:rPr>
      <w:rFonts w:ascii="微软雅黑" w:hAnsi="微软雅黑" w:eastAsia="微软雅黑" w:cs="微软雅黑"/>
      <w:b/>
      <w:bCs/>
      <w:kern w:val="2"/>
      <w:sz w:val="21"/>
      <w:szCs w:val="22"/>
    </w:rPr>
  </w:style>
  <w:style w:type="character" w:customStyle="1" w:styleId="32">
    <w:name w:val="批注框文本 字符"/>
    <w:link w:val="9"/>
    <w:semiHidden/>
    <w:qFormat/>
    <w:uiPriority w:val="99"/>
    <w:rPr>
      <w:rFonts w:ascii="微软雅黑" w:hAnsi="微软雅黑" w:eastAsia="微软雅黑" w:cs="微软雅黑"/>
      <w:kern w:val="2"/>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bmp"/><Relationship Id="rId8" Type="http://schemas.openxmlformats.org/officeDocument/2006/relationships/image" Target="media/image3.bmp"/><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bmp"/><Relationship Id="rId2" Type="http://schemas.openxmlformats.org/officeDocument/2006/relationships/settings" Target="settings.xml"/><Relationship Id="rId19" Type="http://schemas.openxmlformats.org/officeDocument/2006/relationships/image" Target="media/image14.bmp"/><Relationship Id="rId18" Type="http://schemas.openxmlformats.org/officeDocument/2006/relationships/image" Target="media/image13.png"/><Relationship Id="rId17" Type="http://schemas.openxmlformats.org/officeDocument/2006/relationships/image" Target="media/image12.bmp"/><Relationship Id="rId16" Type="http://schemas.openxmlformats.org/officeDocument/2006/relationships/image" Target="media/image11.bmp"/><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jpeg"/><Relationship Id="rId11" Type="http://schemas.openxmlformats.org/officeDocument/2006/relationships/image" Target="media/image6.bmp"/><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065ABE-323D-47C4-8EB8-CF09BDD05652}">
  <ds:schemaRefs/>
</ds:datastoreItem>
</file>

<file path=docProps/app.xml><?xml version="1.0" encoding="utf-8"?>
<Properties xmlns="http://schemas.openxmlformats.org/officeDocument/2006/extended-properties" xmlns:vt="http://schemas.openxmlformats.org/officeDocument/2006/docPropsVTypes">
  <Template>tmp1.dotx</Template>
  <Pages>16</Pages>
  <Words>2814</Words>
  <Characters>3558</Characters>
  <Lines>27</Lines>
  <Paragraphs>7</Paragraphs>
  <TotalTime>5</TotalTime>
  <ScaleCrop>false</ScaleCrop>
  <LinksUpToDate>false</LinksUpToDate>
  <CharactersWithSpaces>3835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2022-01-13T02:16:00Z</dcterms:created>
  <dc:creator>WPS_1508576054</dc:creator>
  <cp:lastModifiedBy>WPS_1508576054</cp:lastModifiedBy>
  <dcterms:modified xsi:type="dcterms:W3CDTF">2022-01-13T02:22:10Z</dcterms:modified>
  <dc:title>唐山启新C02地块项目绿建建模_t3室外噪声分析报告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