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启新C-02地块项目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唐山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MJ401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北京建都设计研究院有限责任公司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2022年01月14日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855"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855"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_Toc5526 </w:instrText>
      </w:r>
      <w:r>
        <w:rPr>
          <w:rFonts w:ascii="宋体" w:hAnsi="宋体"/>
          <w:bCs w:val="0"/>
          <w:caps/>
        </w:rPr>
        <w:fldChar w:fldCharType="separate"/>
      </w:r>
      <w:r>
        <w:rPr>
          <w:rFonts w:hint="eastAsia"/>
        </w:rPr>
        <w:t>1 项目概况</w:t>
      </w:r>
      <w:r>
        <w:tab/>
      </w:r>
      <w:r>
        <w:fldChar w:fldCharType="begin"/>
      </w:r>
      <w:r>
        <w:instrText xml:space="preserve"> PAGEREF _Toc5526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_Toc7340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_Toc7340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_Toc22027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_Toc22027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_Toc21244 </w:instrText>
      </w:r>
      <w:r>
        <w:fldChar w:fldCharType="separate"/>
      </w:r>
      <w:r>
        <w:rPr>
          <w:rFonts w:hint="eastAsia"/>
        </w:rPr>
        <w:t>2 计算</w:t>
      </w:r>
      <w:r>
        <w:t>依据</w:t>
      </w:r>
      <w:r>
        <w:tab/>
      </w:r>
      <w:r>
        <w:fldChar w:fldCharType="begin"/>
      </w:r>
      <w:r>
        <w:instrText xml:space="preserve"> PAGEREF _Toc21244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_Toc25132 </w:instrText>
      </w:r>
      <w:r>
        <w:fldChar w:fldCharType="separate"/>
      </w:r>
      <w:r>
        <w:rPr>
          <w:rFonts w:hint="eastAsia"/>
        </w:rPr>
        <w:t>3 参考</w:t>
      </w:r>
      <w:r>
        <w:t>标准</w:t>
      </w:r>
      <w:r>
        <w:tab/>
      </w:r>
      <w:r>
        <w:fldChar w:fldCharType="begin"/>
      </w:r>
      <w:r>
        <w:instrText xml:space="preserve"> PAGEREF _Toc25132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_Toc24320 </w:instrText>
      </w:r>
      <w:r>
        <w:fldChar w:fldCharType="separate"/>
      </w:r>
      <w:r>
        <w:rPr>
          <w:rFonts w:hint="eastAsia"/>
        </w:rPr>
        <w:t>4 计算原理</w:t>
      </w:r>
      <w:r>
        <w:tab/>
      </w:r>
      <w:r>
        <w:fldChar w:fldCharType="begin"/>
      </w:r>
      <w:r>
        <w:instrText xml:space="preserve"> PAGEREF _Toc24320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_Toc29706 </w:instrText>
      </w:r>
      <w:r>
        <w:fldChar w:fldCharType="separate"/>
      </w:r>
      <w:r>
        <w:rPr>
          <w:rFonts w:hint="eastAsia"/>
          <w:lang w:val="en-GB"/>
        </w:rPr>
        <w:t xml:space="preserve">4.1 </w:t>
      </w:r>
      <w:r>
        <w:rPr>
          <w:rFonts w:hint="eastAsia"/>
        </w:rPr>
        <w:t>风场计算域</w:t>
      </w:r>
      <w:r>
        <w:tab/>
      </w:r>
      <w:r>
        <w:fldChar w:fldCharType="begin"/>
      </w:r>
      <w:r>
        <w:instrText xml:space="preserve"> PAGEREF _Toc29706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_Toc12870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_Toc12870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_Toc24500 </w:instrText>
      </w:r>
      <w:r>
        <w:fldChar w:fldCharType="separate"/>
      </w:r>
      <w:r>
        <w:rPr>
          <w:rFonts w:hint="eastAsia"/>
          <w:lang w:val="en-GB"/>
        </w:rPr>
        <w:t xml:space="preserve">4.2 </w:t>
      </w:r>
      <w:r>
        <w:rPr>
          <w:rFonts w:hint="eastAsia"/>
        </w:rPr>
        <w:t>网格划分</w:t>
      </w:r>
      <w:r>
        <w:tab/>
      </w:r>
      <w:r>
        <w:fldChar w:fldCharType="begin"/>
      </w:r>
      <w:r>
        <w:instrText xml:space="preserve"> PAGEREF _Toc24500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_Toc15993 </w:instrText>
      </w:r>
      <w:r>
        <w:fldChar w:fldCharType="separate"/>
      </w:r>
      <w:r>
        <w:rPr>
          <w:rFonts w:hint="eastAsia"/>
          <w:lang w:val="en-GB"/>
        </w:rPr>
        <w:t xml:space="preserve">4.3 </w:t>
      </w:r>
      <w:r>
        <w:rPr>
          <w:rFonts w:hint="eastAsia"/>
        </w:rPr>
        <w:t>边界条件</w:t>
      </w:r>
      <w:r>
        <w:tab/>
      </w:r>
      <w:r>
        <w:fldChar w:fldCharType="begin"/>
      </w:r>
      <w:r>
        <w:instrText xml:space="preserve"> PAGEREF _Toc15993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_Toc20147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_Toc20147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_Toc13142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_Toc13142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_Toc13478 </w:instrText>
      </w:r>
      <w:r>
        <w:fldChar w:fldCharType="separate"/>
      </w:r>
      <w:r>
        <w:rPr>
          <w:rFonts w:hint="eastAsia"/>
          <w:lang w:val="en-GB"/>
        </w:rPr>
        <w:t xml:space="preserve">4.4 </w:t>
      </w:r>
      <w:r>
        <w:rPr>
          <w:rFonts w:hint="eastAsia"/>
        </w:rPr>
        <w:t>湍流模型</w:t>
      </w:r>
      <w:r>
        <w:tab/>
      </w:r>
      <w:r>
        <w:fldChar w:fldCharType="begin"/>
      </w:r>
      <w:r>
        <w:instrText xml:space="preserve"> PAGEREF _Toc13478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_Toc5498 </w:instrText>
      </w:r>
      <w:r>
        <w:fldChar w:fldCharType="separate"/>
      </w:r>
      <w:r>
        <w:rPr>
          <w:rFonts w:hint="eastAsia"/>
          <w:lang w:val="en-GB"/>
        </w:rPr>
        <w:t xml:space="preserve">4.5 </w:t>
      </w:r>
      <w:r>
        <w:rPr>
          <w:rFonts w:hint="eastAsia"/>
        </w:rPr>
        <w:t>求解计算</w:t>
      </w:r>
      <w:r>
        <w:tab/>
      </w:r>
      <w:r>
        <w:fldChar w:fldCharType="begin"/>
      </w:r>
      <w:r>
        <w:instrText xml:space="preserve"> PAGEREF _Toc5498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_Toc11623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_Toc11623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_Toc14749 </w:instrText>
      </w:r>
      <w:r>
        <w:fldChar w:fldCharType="separate"/>
      </w:r>
      <w:r>
        <w:rPr>
          <w:rFonts w:hint="eastAsia"/>
        </w:rPr>
        <w:t>5 结果</w:t>
      </w:r>
      <w:r>
        <w:t>分析</w:t>
      </w:r>
      <w:r>
        <w:tab/>
      </w:r>
      <w:r>
        <w:fldChar w:fldCharType="begin"/>
      </w:r>
      <w:r>
        <w:instrText xml:space="preserve"> PAGEREF _Toc14749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_Toc30983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_Toc30983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_Toc13485 </w:instrText>
      </w:r>
      <w:r>
        <w:fldChar w:fldCharType="separate"/>
      </w:r>
      <w:r>
        <w:rPr>
          <w:rFonts w:hint="eastAsia"/>
          <w:lang w:val="en-GB"/>
        </w:rPr>
        <w:t xml:space="preserve">5.2 </w:t>
      </w:r>
      <w:r>
        <w:rPr>
          <w:rFonts w:hint="eastAsia"/>
        </w:rPr>
        <w:t>冬季工况</w:t>
      </w:r>
      <w:r>
        <w:tab/>
      </w:r>
      <w:r>
        <w:fldChar w:fldCharType="begin"/>
      </w:r>
      <w:r>
        <w:instrText xml:space="preserve"> PAGEREF _Toc13485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_Toc29952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_Toc29952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_Toc30566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_Toc30566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_Toc3718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_Toc3718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_Toc29918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_Toc29918 \h </w:instrText>
      </w:r>
      <w:r>
        <w:fldChar w:fldCharType="separate"/>
      </w:r>
      <w:r>
        <w:t>16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_Toc27288 </w:instrText>
      </w:r>
      <w:r>
        <w:fldChar w:fldCharType="separate"/>
      </w:r>
      <w:r>
        <w:rPr>
          <w:rFonts w:hint="eastAsia"/>
          <w:lang w:val="en-GB"/>
        </w:rPr>
        <w:t xml:space="preserve">5.3 </w:t>
      </w:r>
      <w:r>
        <w:rPr>
          <w:rFonts w:hint="eastAsia"/>
        </w:rPr>
        <w:t>结论</w:t>
      </w:r>
      <w:r>
        <w:tab/>
      </w:r>
      <w:r>
        <w:fldChar w:fldCharType="begin"/>
      </w:r>
      <w:r>
        <w:instrText xml:space="preserve"> PAGEREF _Toc27288 \h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_Toc19286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_Toc19286 \h </w:instrText>
      </w:r>
      <w:r>
        <w:fldChar w:fldCharType="separate"/>
      </w:r>
      <w:r>
        <w:t>25</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5526"/>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7340"/>
      <w:bookmarkStart w:id="13" w:name="_Toc452108760"/>
      <w:r>
        <w:rPr>
          <w:rFonts w:hint="eastAsia"/>
        </w:rPr>
        <w:t>总</w:t>
      </w:r>
      <w:r>
        <w:t>平面图</w:t>
      </w:r>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134"/>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4"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r>
    </w:tbl>
    <w:p>
      <w:pPr>
        <w:pStyle w:val="3"/>
        <w:ind w:firstLine="0" w:firstLineChars="0"/>
        <w:jc w:val="center"/>
        <w:rPr>
          <w:lang w:val="en-US"/>
        </w:rPr>
      </w:pPr>
      <w:r>
        <w:rPr>
          <w:rFonts w:hint="eastAsia"/>
          <w:lang w:val="en-US"/>
        </w:rPr>
        <w:t xml:space="preserve"> </w:t>
      </w:r>
      <w:bookmarkStart w:id="15" w:name="总平面图"/>
      <w:bookmarkEnd w:id="15"/>
      <w:r>
        <w:drawing>
          <wp:inline distT="0" distB="0" distL="0" distR="0">
            <wp:extent cx="5667375" cy="3133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8"/>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6" w:name="_Toc22027"/>
      <w:bookmarkStart w:id="17" w:name="_Toc452108761"/>
      <w:r>
        <w:rPr>
          <w:rFonts w:hint="eastAsia"/>
        </w:rPr>
        <w:t>三</w:t>
      </w:r>
      <w:r>
        <w:t>维视图</w:t>
      </w:r>
      <w:bookmarkEnd w:id="16"/>
      <w:bookmarkEnd w:id="1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134"/>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8"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r>
      <w:bookmarkEnd w:id="18"/>
    </w:tbl>
    <w:p>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133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_Toc21244"/>
      <w:bookmarkStart w:id="21" w:name="TitleFormat"/>
      <w:bookmarkStart w:id="22" w:name="_Toc452108762"/>
      <w:r>
        <w:rPr>
          <w:rFonts w:hint="eastAsia"/>
        </w:rPr>
        <w:t>计算</w:t>
      </w:r>
      <w:r>
        <w:t>依据</w:t>
      </w:r>
      <w:bookmarkEnd w:id="20"/>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50378—2014</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3" w:name="_Toc25132"/>
      <w:bookmarkStart w:id="24" w:name="_Toc452108763"/>
      <w:r>
        <w:rPr>
          <w:rFonts w:hint="eastAsia"/>
        </w:rPr>
        <w:t>参考</w:t>
      </w:r>
      <w:r>
        <w:t>标准</w:t>
      </w:r>
      <w:bookmarkEnd w:id="23"/>
      <w:bookmarkEnd w:id="24"/>
    </w:p>
    <w:p>
      <w:pPr>
        <w:pStyle w:val="3"/>
        <w:ind w:firstLine="420"/>
        <w:rPr>
          <w:lang w:val="en-US"/>
        </w:rPr>
      </w:pPr>
      <w:r>
        <w:rPr>
          <w:rFonts w:hint="eastAsia"/>
          <w:lang w:val="en-US"/>
        </w:rPr>
        <w:t>室外风环境评价依据为《绿色建筑评价标准》（GB/T 50378-2014）中有关室外风环境的条目要求。具体要求如下：</w:t>
      </w:r>
    </w:p>
    <w:p>
      <w:pPr>
        <w:pStyle w:val="3"/>
        <w:ind w:firstLine="420"/>
        <w:rPr>
          <w:lang w:val="en-US"/>
        </w:rPr>
      </w:pPr>
      <w:bookmarkStart w:id="25" w:name="_Toc451698935"/>
      <w:bookmarkStart w:id="26" w:name="_Toc452108764"/>
      <w:bookmarkStart w:id="27" w:name="_Toc451436145"/>
      <w:r>
        <w:rPr>
          <w:rFonts w:hint="eastAsia"/>
          <w:lang w:val="en-US"/>
        </w:rPr>
        <w:t>4.2.6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冬季典型风速和风向条件下，建筑物周围人行区风速低于5m/s，且室外风速放大系数小于2，得2分；除迎风第一排建筑外，建筑迎风面与背风面表面风压差不超过5Pa，得1分。</w:t>
      </w:r>
    </w:p>
    <w:p>
      <w:pPr>
        <w:pStyle w:val="3"/>
        <w:ind w:firstLine="420"/>
        <w:rPr>
          <w:lang w:val="en-US"/>
        </w:rPr>
      </w:pPr>
      <w:r>
        <w:rPr>
          <w:rFonts w:hint="eastAsia"/>
          <w:lang w:val="en-US"/>
        </w:rPr>
        <w:t>2  过渡季、夏季典型风速和风向条件下，场地内人活动区不出现涡旋或无风区，得2分；50%以上可开启外窗室内外表面的风压差大于0.5Pa，得1分。</w:t>
      </w:r>
    </w:p>
    <w:p>
      <w:pPr>
        <w:pStyle w:val="2"/>
      </w:pPr>
      <w:bookmarkStart w:id="28" w:name="_Toc24320"/>
      <w:r>
        <w:rPr>
          <w:rFonts w:hint="eastAsia"/>
        </w:rPr>
        <w:t>计算原理</w:t>
      </w:r>
      <w:bookmarkEnd w:id="28"/>
    </w:p>
    <w:p>
      <w:pPr>
        <w:pStyle w:val="4"/>
        <w:numPr>
          <w:ilvl w:val="1"/>
          <w:numId w:val="3"/>
        </w:numPr>
      </w:pPr>
      <w:bookmarkStart w:id="29" w:name="_Toc29706"/>
      <w:bookmarkStart w:id="30" w:name="_Toc509844740"/>
      <w:bookmarkStart w:id="31" w:name="_Toc451698937"/>
      <w:bookmarkStart w:id="32" w:name="_Toc452108765"/>
      <w:r>
        <w:rPr>
          <w:rFonts w:hint="eastAsia"/>
        </w:rPr>
        <w:t>风场计算域</w:t>
      </w:r>
      <w:bookmarkEnd w:id="29"/>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3" w:name="_Toc12870"/>
      <w:r>
        <w:rPr>
          <w:rFonts w:hint="eastAsia"/>
        </w:rPr>
        <w:t>冬季工况风场计算域</w:t>
      </w:r>
      <w:bookmarkEnd w:id="33"/>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4" w:name="冬季风场Z尺寸"/>
            <w:r>
              <w:t>166</w:t>
            </w:r>
          </w:p>
        </w:tc>
      </w:tr>
    </w:tbl>
    <w:p>
      <w:pPr>
        <w:pStyle w:val="3"/>
        <w:ind w:firstLine="0" w:firstLineChars="0"/>
        <w:jc w:val="center"/>
        <w:rPr>
          <w:lang w:val="en-US"/>
        </w:rPr>
      </w:pPr>
      <w:r>
        <w:drawing>
          <wp:inline distT="0" distB="0" distL="0" distR="0">
            <wp:extent cx="5667375" cy="2809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0"/>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5"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6" w:name="_Toc24500"/>
      <w:bookmarkStart w:id="37" w:name="_Toc509844741"/>
      <w:r>
        <w:rPr>
          <w:rFonts w:hint="eastAsia"/>
        </w:rPr>
        <w:t>网格划分</w:t>
      </w:r>
      <w:bookmarkEnd w:id="36"/>
      <w:bookmarkEnd w:id="37"/>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8" w:name="OLE_LINK276"/>
      <w:bookmarkStart w:id="39" w:name="OLE_LINK277"/>
      <w:r>
        <w:rPr>
          <w:rFonts w:hint="eastAsia"/>
        </w:rPr>
        <w:t>1）普通网格：指除靠近地面和建筑以外的网格，通常不需要特别加密处理</w:t>
      </w:r>
    </w:p>
    <w:p>
      <w:pPr>
        <w:pStyle w:val="12"/>
        <w:numPr>
          <w:ilvl w:val="0"/>
          <w:numId w:val="4"/>
        </w:numPr>
        <w:spacing w:before="156"/>
      </w:pPr>
      <w:bookmarkStart w:id="40" w:name="OLE_LINK15"/>
      <w:r>
        <w:rPr>
          <w:rFonts w:hint="eastAsia"/>
        </w:rPr>
        <w:t>分弧精度：对于有圆弧特征的建筑局部，把圆弧分解为线段时，弦到弧的最大距离；</w:t>
      </w:r>
    </w:p>
    <w:bookmarkEnd w:id="40"/>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38"/>
      <w:bookmarkEnd w:id="39"/>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1179991</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bookmarkEnd w:id="14"/>
    </w:tbl>
    <w:p>
      <w:pPr>
        <w:rPr>
          <w:szCs w:val="21"/>
          <w:lang w:val="en-US"/>
        </w:rPr>
      </w:pPr>
    </w:p>
    <w:p>
      <w:pPr>
        <w:jc w:val="center"/>
      </w:pPr>
      <w:r>
        <w:drawing>
          <wp:inline distT="0" distB="0" distL="0" distR="0">
            <wp:extent cx="5667375" cy="30289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5667375" cy="30289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网格图-冬季</w:t>
      </w:r>
    </w:p>
    <w:p>
      <w:pPr>
        <w:pStyle w:val="3"/>
        <w:ind w:firstLine="630" w:firstLineChars="300"/>
        <w:rPr>
          <w:rFonts w:ascii="黑体" w:hAnsi="黑体" w:eastAsia="黑体"/>
          <w:szCs w:val="20"/>
          <w:lang w:val="en-US"/>
        </w:rPr>
      </w:pPr>
      <w:bookmarkStart w:id="41" w:name="网格划分信息"/>
      <w:bookmarkEnd w:id="41"/>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42" w:name="网格图"/>
      <w:bookmarkEnd w:id="42"/>
    </w:p>
    <w:p>
      <w:pPr>
        <w:pStyle w:val="4"/>
        <w:numPr>
          <w:ilvl w:val="1"/>
          <w:numId w:val="3"/>
        </w:numPr>
      </w:pPr>
      <w:bookmarkStart w:id="43" w:name="_Toc15993"/>
      <w:bookmarkStart w:id="44" w:name="_Toc509844742"/>
      <w:r>
        <w:rPr>
          <w:rFonts w:hint="eastAsia"/>
        </w:rPr>
        <w:t>边界条件</w:t>
      </w:r>
      <w:bookmarkEnd w:id="43"/>
      <w:bookmarkEnd w:id="44"/>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5" w:name="_Toc20147"/>
      <w:bookmarkStart w:id="46" w:name="_Toc509844743"/>
      <w:r>
        <w:rPr>
          <w:rFonts w:hint="eastAsia"/>
        </w:rPr>
        <w:t>入口与出口边界条件</w:t>
      </w:r>
      <w:bookmarkEnd w:id="45"/>
      <w:bookmarkEnd w:id="46"/>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0.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7" w:name="地面粗糙度指数2"/>
      <w:r>
        <w:rPr>
          <w:rFonts w:hint="eastAsia"/>
          <w:lang w:val="en-US"/>
        </w:rPr>
        <w:t>0.28</w:t>
      </w:r>
      <w:bookmarkEnd w:id="47"/>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8" w:name="_Toc509844744"/>
      <w:bookmarkStart w:id="49" w:name="_Toc13142"/>
      <w:r>
        <w:rPr>
          <w:rFonts w:hint="eastAsia"/>
        </w:rPr>
        <w:t>壁面边界条件</w:t>
      </w:r>
      <w:bookmarkEnd w:id="48"/>
      <w:bookmarkEnd w:id="49"/>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0" w:name="_Toc13478"/>
      <w:r>
        <w:rPr>
          <w:rFonts w:hint="eastAsia"/>
        </w:rPr>
        <w:t>湍流模型</w:t>
      </w:r>
      <w:bookmarkEnd w:id="50"/>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1" w:name="_Toc452108767"/>
      <w:bookmarkStart w:id="52" w:name="_Toc451698939"/>
      <w:bookmarkStart w:id="53" w:name="_Toc5498"/>
      <w:r>
        <w:rPr>
          <w:rFonts w:hint="eastAsia"/>
        </w:rPr>
        <w:t>求解计算</w:t>
      </w:r>
      <w:bookmarkEnd w:id="51"/>
      <w:bookmarkEnd w:id="52"/>
      <w:bookmarkEnd w:id="53"/>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4"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4"/>
      <w:r>
        <w:rPr>
          <w:rFonts w:hint="eastAsia" w:ascii="黑体" w:hAnsi="黑体" w:eastAsia="黑体"/>
          <w:sz w:val="20"/>
          <w:szCs w:val="20"/>
        </w:rPr>
        <w:t xml:space="preserve"> </w:t>
      </w:r>
      <w:bookmarkStart w:id="55" w:name="_Ref225175618"/>
      <w:r>
        <w:rPr>
          <w:rFonts w:hint="eastAsia" w:ascii="黑体" w:hAnsi="黑体" w:eastAsia="黑体"/>
          <w:sz w:val="20"/>
          <w:szCs w:val="20"/>
        </w:rPr>
        <w:t>计算流体力学的控制方程</w:t>
      </w:r>
      <w:bookmarkEnd w:id="55"/>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6" w:name="_Toc11623"/>
      <w:bookmarkStart w:id="57" w:name="_Toc509844747"/>
      <w:r>
        <w:rPr>
          <w:rFonts w:hint="eastAsia"/>
        </w:rPr>
        <w:t>风速放大系数计算</w:t>
      </w:r>
      <w:bookmarkEnd w:id="56"/>
      <w:bookmarkEnd w:id="57"/>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0" o:title=""/>
            <o:lock v:ext="edit" aspectratio="t"/>
            <w10:wrap type="none"/>
            <w10:anchorlock/>
          </v:shape>
          <o:OLEObject Type="Embed" ProgID="Equation.3" ShapeID="_x0000_i1028" DrawAspect="Content" ObjectID="_1468075728" r:id="rId59">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2" o:title=""/>
            <o:lock v:ext="edit" aspectratio="t"/>
            <w10:wrap type="none"/>
            <w10:anchorlock/>
          </v:shape>
          <o:OLEObject Type="Embed" ProgID="Equation.3" ShapeID="_x0000_i1029" DrawAspect="Content" ObjectID="_1468075729" r:id="rId61">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4" o:title=""/>
            <o:lock v:ext="edit" aspectratio="t"/>
            <w10:wrap type="none"/>
            <w10:anchorlock/>
          </v:shape>
          <o:OLEObject Type="Embed" ProgID="Equation.3" ShapeID="_x0000_i1030" DrawAspect="Content" ObjectID="_1468075730" r:id="rId63">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6" o:title=""/>
            <o:lock v:ext="edit" aspectratio="t"/>
            <w10:wrap type="none"/>
            <w10:anchorlock/>
          </v:shape>
          <o:OLEObject Type="Embed" ProgID="Equation.3" ShapeID="_x0000_i1031" DrawAspect="Content" ObjectID="_1468075731" r:id="rId65">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8" w:name="地面粗糙度指数"/>
      <w:r>
        <w:rPr>
          <w:rFonts w:hint="eastAsia"/>
          <w:lang w:val="en-US"/>
        </w:rPr>
        <w:t>0.28</w:t>
      </w:r>
      <w:bookmarkEnd w:id="58"/>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9" w:name="_Toc14749"/>
      <w:bookmarkStart w:id="60" w:name="_Toc452108768"/>
      <w:r>
        <w:rPr>
          <w:rFonts w:hint="eastAsia"/>
        </w:rPr>
        <w:t>结果</w:t>
      </w:r>
      <w:r>
        <w:t>分析</w:t>
      </w:r>
      <w:bookmarkEnd w:id="59"/>
      <w:bookmarkEnd w:id="60"/>
    </w:p>
    <w:p>
      <w:pPr>
        <w:pStyle w:val="4"/>
        <w:rPr>
          <w:szCs w:val="21"/>
        </w:rPr>
      </w:pPr>
      <w:bookmarkStart w:id="61" w:name="_Toc30983"/>
      <w:r>
        <w:rPr>
          <w:rFonts w:hint="eastAsia"/>
          <w:szCs w:val="21"/>
        </w:rPr>
        <w:t>工况</w:t>
      </w:r>
      <w:r>
        <w:rPr>
          <w:szCs w:val="21"/>
        </w:rPr>
        <w:t>表</w:t>
      </w:r>
      <w:bookmarkEnd w:id="61"/>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2"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2.90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WNW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157.5</w:t>
            </w:r>
          </w:p>
        </w:tc>
      </w:tr>
      <w:bookmarkEnd w:id="62"/>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7"/>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3" w:name="_Toc13485"/>
      <w:r>
        <w:rPr>
          <w:rFonts w:hint="eastAsia"/>
        </w:rPr>
        <w:t>冬季工况</w:t>
      </w:r>
      <w:bookmarkEnd w:id="63"/>
    </w:p>
    <w:p>
      <w:pPr>
        <w:ind w:firstLine="420" w:firstLineChars="200"/>
        <w:jc w:val="both"/>
      </w:pPr>
      <w:r>
        <w:rPr>
          <w:rFonts w:hint="eastAsia"/>
          <w:lang w:val="en-US"/>
        </w:rPr>
        <w:t>本项目冬季工况的入口边界风速为</w:t>
      </w:r>
      <w:r>
        <w:rPr>
          <w:rFonts w:hint="eastAsia" w:ascii="Calibri" w:hAnsi="Calibri"/>
          <w:szCs w:val="21"/>
        </w:rPr>
        <w:t>2.90</w:t>
      </w:r>
      <w:r>
        <w:rPr>
          <w:rFonts w:ascii="Calibri" w:hAnsi="Calibri"/>
          <w:szCs w:val="21"/>
        </w:rPr>
        <w:t>m/s</w:t>
      </w:r>
      <w:r>
        <w:rPr>
          <w:rFonts w:hint="eastAsia" w:ascii="Calibri" w:hAnsi="Calibri"/>
          <w:szCs w:val="21"/>
        </w:rPr>
        <w:t>，风向为</w:t>
      </w:r>
      <w:r>
        <w:rPr>
          <w:szCs w:val="21"/>
        </w:rPr>
        <w:t>WNW</w:t>
      </w:r>
      <w:r>
        <w:rPr>
          <w:rFonts w:hint="eastAsia"/>
          <w:szCs w:val="21"/>
        </w:rPr>
        <w:t>。</w:t>
      </w:r>
    </w:p>
    <w:p>
      <w:pPr>
        <w:pStyle w:val="5"/>
      </w:pPr>
      <w:bookmarkStart w:id="64" w:name="_Toc29952"/>
      <w:r>
        <w:rPr>
          <w:rFonts w:hint="eastAsia"/>
        </w:rPr>
        <w:t>风速达标分析</w:t>
      </w:r>
      <w:bookmarkEnd w:id="64"/>
      <w:r>
        <w:rPr>
          <w:rFonts w:hint="eastAsia"/>
        </w:rPr>
        <w:t xml:space="preserve"> </w:t>
      </w:r>
    </w:p>
    <w:p>
      <w:pPr>
        <w:pStyle w:val="6"/>
        <w:numPr>
          <w:ilvl w:val="3"/>
          <w:numId w:val="1"/>
        </w:numPr>
      </w:pPr>
      <w:r>
        <w:t>人行区域风速达标分析</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r>
        <w:drawing>
          <wp:inline distT="0" distB="0" distL="0" distR="0">
            <wp:extent cx="5667375" cy="26193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8"/>
                    <a:stretch>
                      <a:fillRect/>
                    </a:stretch>
                  </pic:blipFill>
                  <pic:spPr>
                    <a:xfrm>
                      <a:off x="0" y="0"/>
                      <a:ext cx="5667375" cy="26193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6"/>
      </w:pPr>
      <w:r>
        <w:rPr>
          <w:rFonts w:hint="eastAsia"/>
        </w:rPr>
        <w:t>计算域内风速分析</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t>建筑周围没有风速超限区域，可以采用该建筑布局。</w:t>
      </w:r>
    </w:p>
    <w:p>
      <w:pPr>
        <w:pStyle w:val="3"/>
        <w:ind w:hanging="2" w:firstLineChars="0"/>
        <w:jc w:val="center"/>
        <w:rPr>
          <w:rFonts w:ascii="Calibri Light" w:hAnsi="Calibri Light" w:eastAsia="黑体"/>
          <w:sz w:val="20"/>
          <w:szCs w:val="20"/>
        </w:rPr>
      </w:pPr>
      <w:r>
        <w:drawing>
          <wp:inline distT="0" distB="0" distL="0" distR="0">
            <wp:extent cx="5667375" cy="2657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69"/>
                    <a:stretch>
                      <a:fillRect/>
                    </a:stretch>
                  </pic:blipFill>
                  <pic:spPr>
                    <a:xfrm>
                      <a:off x="0" y="0"/>
                      <a:ext cx="5667375" cy="26574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5" w:name="_Toc30566"/>
      <w:r>
        <w:rPr>
          <w:rFonts w:hint="eastAsia"/>
        </w:rPr>
        <w:t>风速放大系数达标分析</w:t>
      </w:r>
      <w:bookmarkEnd w:id="65"/>
    </w:p>
    <w:p>
      <w:pPr>
        <w:pStyle w:val="6"/>
      </w:pPr>
      <w:r>
        <w:rPr>
          <w:rFonts w:hint="eastAsia"/>
        </w:rPr>
        <w:t>人行区域</w:t>
      </w:r>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r>
        <w:drawing>
          <wp:inline distT="0" distB="0" distL="0" distR="0">
            <wp:extent cx="5667375" cy="25717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0"/>
                    <a:stretch>
                      <a:fillRect/>
                    </a:stretch>
                  </pic:blipFill>
                  <pic:spPr>
                    <a:xfrm>
                      <a:off x="0" y="0"/>
                      <a:ext cx="5667375" cy="257175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6"/>
      </w:pPr>
      <w:r>
        <w:rPr>
          <w:rFonts w:hint="eastAsia"/>
        </w:rPr>
        <w:t>计算域内风速放大系数分析</w:t>
      </w:r>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t>建筑周围没有风速放大系数超限区域，可以采用该建筑布局。</w:t>
      </w:r>
    </w:p>
    <w:bookmarkEnd w:id="13"/>
    <w:p>
      <w:pPr>
        <w:pStyle w:val="13"/>
        <w:jc w:val="center"/>
        <w:rPr>
          <w:lang w:val="en-US"/>
        </w:rPr>
      </w:pPr>
      <w:r>
        <w:drawing>
          <wp:inline distT="0" distB="0" distL="0" distR="0">
            <wp:extent cx="5667375" cy="26289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1"/>
                    <a:stretch>
                      <a:fillRect/>
                    </a:stretch>
                  </pic:blipFill>
                  <pic:spPr>
                    <a:xfrm>
                      <a:off x="0" y="0"/>
                      <a:ext cx="5667375" cy="2628900"/>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4</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eastAsia="黑体"/>
          <w:lang w:val="en-US"/>
        </w:rPr>
      </w:pPr>
      <w:r>
        <w:rPr>
          <w:rFonts w:hint="eastAsia" w:ascii="黑体" w:hAnsi="黑体" w:eastAsia="黑体"/>
          <w:lang w:val="en-US"/>
        </w:rPr>
        <w:t>3）通常将1.5米作为一般人群的参考行走高度，也可酌情调整人行走高度。</w:t>
      </w:r>
    </w:p>
    <w:p/>
    <w:bookmarkEnd w:id="21"/>
    <w:p>
      <w:pPr>
        <w:rPr>
          <w:rFonts w:hint="eastAsia"/>
        </w:rPr>
      </w:pPr>
    </w:p>
    <w:p>
      <w:pPr>
        <w:pStyle w:val="5"/>
      </w:pPr>
      <w:bookmarkStart w:id="66" w:name="_Toc3718"/>
      <w:r>
        <w:rPr>
          <w:rFonts w:hint="eastAsia" w:cs="宋体"/>
          <w:lang w:val="en-GB"/>
        </w:rPr>
        <w:t>人行区域</w:t>
      </w:r>
      <w:r>
        <w:rPr>
          <w:rFonts w:hint="eastAsia"/>
        </w:rPr>
        <w:t>冬季工况风速/风速放大系数达标判定</w:t>
      </w:r>
      <w:bookmarkEnd w:id="66"/>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bl>
    <w:p/>
    <w:p>
      <w:pPr>
        <w:pStyle w:val="5"/>
      </w:pPr>
      <w:bookmarkStart w:id="67" w:name="_Toc29918"/>
      <w:r>
        <w:rPr>
          <w:rFonts w:hint="eastAsia"/>
        </w:rPr>
        <w:t>建筑迎风面和背风面风压分析</w:t>
      </w:r>
      <w:bookmarkEnd w:id="22"/>
      <w:bookmarkEnd w:id="67"/>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bookmarkEnd w:id="25"/>
    <w:p>
      <w:pPr>
        <w:pStyle w:val="13"/>
        <w:jc w:val="center"/>
        <w:rPr>
          <w:lang w:val="en-US"/>
        </w:rPr>
      </w:pPr>
      <w:r>
        <w:drawing>
          <wp:inline distT="0" distB="0" distL="0" distR="0">
            <wp:extent cx="5667375" cy="27908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3"/>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bookmarkEnd w:id="26"/>
    <w:p>
      <w:pPr>
        <w:pStyle w:val="13"/>
        <w:jc w:val="center"/>
      </w:pPr>
      <w:r>
        <w:drawing>
          <wp:inline distT="0" distB="0" distL="0" distR="0">
            <wp:extent cx="5667375" cy="28194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4"/>
                    <a:stretch>
                      <a:fillRect/>
                    </a:stretch>
                  </pic:blipFill>
                  <pic:spPr>
                    <a:xfrm>
                      <a:off x="0" y="0"/>
                      <a:ext cx="5667375" cy="28194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-201(201)</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1.48</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-0.79</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2.27</w:t>
            </w:r>
          </w:p>
        </w:tc>
      </w:tr>
    </w:tbl>
    <w:p>
      <w:r>
        <w:t>结论：迎风第一排建筑，</w:t>
      </w:r>
      <w:r>
        <w:rPr>
          <w:b/>
          <w:color w:val="00FF00"/>
        </w:rPr>
        <w:t>标准未做要求</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3</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-202(202)</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-0.63</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-1.96</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1.33</w:t>
            </w:r>
          </w:p>
        </w:tc>
      </w:tr>
    </w:tbl>
    <w:p>
      <w:r>
        <w:t>结论：迎风第一排建筑，</w:t>
      </w:r>
      <w:r>
        <w:rPr>
          <w:b/>
          <w:color w:val="00FF00"/>
        </w:rPr>
        <w:t>标准未做要求</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4</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-203-R(203-R)</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-0.61</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-0.52</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-0.09</w:t>
            </w:r>
          </w:p>
        </w:tc>
      </w:tr>
    </w:tbl>
    <w:p>
      <w:r>
        <w:t>结论：迎风第一排建筑，</w:t>
      </w:r>
      <w:r>
        <w:rPr>
          <w:b/>
          <w:color w:val="00FF00"/>
        </w:rPr>
        <w:t>标准未做要求</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5</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-203公建(203公建)</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0.20</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-0.74</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0.94</w:t>
            </w:r>
          </w:p>
        </w:tc>
      </w:tr>
    </w:tbl>
    <w:p>
      <w:r>
        <w:t>结论：迎风第一排建筑，</w:t>
      </w:r>
      <w:r>
        <w:rPr>
          <w:b/>
          <w:color w:val="00FF00"/>
        </w:rPr>
        <w:t>标准未做要求</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6</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-203住宅(203住宅)</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-2.13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-0.30</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-1.94</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1.64</w:t>
            </w:r>
          </w:p>
        </w:tc>
      </w:tr>
    </w:tbl>
    <w:p>
      <w:r>
        <w:t>结论：迎风第一排建筑，</w:t>
      </w:r>
      <w:r>
        <w:rPr>
          <w:b/>
          <w:color w:val="00FF00"/>
        </w:rPr>
        <w:t>标准未做要求</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7</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-204(204)</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-3.32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-3.41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-3.62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-3.59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-3.52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-3.38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-3.32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-3.58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-3.70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-3.81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-3.91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-3.93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-3.79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-3.84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-4.01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0.51</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-3.57</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4.08</w:t>
            </w:r>
          </w:p>
        </w:tc>
      </w:tr>
    </w:tbl>
    <w:p>
      <w:r>
        <w:t>标准要求：迎背风面窗平均风压差（绝对值）≤5Pa。结论：该楼</w:t>
      </w:r>
      <w:r>
        <w:rPr>
          <w:b/>
          <w:color w:val="0000FF"/>
        </w:rPr>
        <w:t>达标</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8</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-205(205)</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-2.17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-2.19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-2.16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-2.83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-1.22</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-2.69</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1.47</w:t>
            </w:r>
          </w:p>
        </w:tc>
      </w:tr>
    </w:tbl>
    <w:p>
      <w:r>
        <w:t>标准要求：迎背风面窗平均风压差（绝对值）≤5Pa。结论：该楼</w:t>
      </w:r>
      <w:r>
        <w:rPr>
          <w:b/>
          <w:color w:val="0000FF"/>
        </w:rPr>
        <w:t>达标</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9</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-206(206)</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-2.82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-3.87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-1.08</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-3.06</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1.98</w:t>
            </w:r>
          </w:p>
        </w:tc>
      </w:tr>
    </w:tbl>
    <w:p>
      <w:r>
        <w:t>标准要求：迎背风面窗平均风压差（绝对值）≤5Pa。结论：该楼</w:t>
      </w:r>
      <w:r>
        <w:rPr>
          <w:b/>
          <w:color w:val="0000FF"/>
        </w:rPr>
        <w:t>达标</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10</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-207(207)</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-3.55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-4.08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-3.96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-4.02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-3.86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-3.76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-3.77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-3.90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-3.87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-3.96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-4.05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-4.17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-4.18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-4.31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-4.47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-4.58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-4.61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-5.45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-0.16</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-4.20</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4.04</w:t>
            </w:r>
          </w:p>
        </w:tc>
      </w:tr>
    </w:tbl>
    <w:p>
      <w:r>
        <w:t>标准要求：迎背风面窗平均风压差（绝对值）≤5Pa。结论：该楼</w:t>
      </w:r>
      <w:r>
        <w:rPr>
          <w:b/>
          <w:color w:val="0000FF"/>
        </w:rPr>
        <w:t>达标</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-208(208 209)</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-0.37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-2.10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-2.19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-2.89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-2.13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-2.83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-2.82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-1.31</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-2.50</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1.19</w:t>
            </w:r>
          </w:p>
        </w:tc>
      </w:tr>
    </w:tbl>
    <w:p>
      <w:r>
        <w:t>标准要求：迎背风面窗平均风压差（绝对值）≤5Pa。结论：该楼</w:t>
      </w:r>
      <w:r>
        <w:rPr>
          <w:b/>
          <w:color w:val="0000FF"/>
        </w:rPr>
        <w:t>达标</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-209(208 209)</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-3.64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-4.06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-3.98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-4.26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-4.29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-4.35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-3.30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-4.44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-4.21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-3.35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-4.32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-3.32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-4.65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-3.35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-4.74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-3.58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-4.79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-4.03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-4.84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-4.38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-4.79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-5.04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-4.67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-4.54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-4.31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-4.07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-3.97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-3.56</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-4.35</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0.79</w:t>
            </w:r>
          </w:p>
        </w:tc>
      </w:tr>
    </w:tbl>
    <w:p>
      <w:r>
        <w:t>标准要求：迎背风面窗平均风压差（绝对值）≤5Pa。结论：该楼</w:t>
      </w:r>
      <w:r>
        <w:rPr>
          <w:b/>
          <w:color w:val="0000FF"/>
        </w:rPr>
        <w:t>达标</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13</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-210(210)</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-5.14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-4.49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-5.38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-3.51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-5.27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-2.89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-5.47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-5.41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-5.41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-5.49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-3.51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-5.50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-2.88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-5.54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-3.38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-5.55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-5.55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-5.53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-3.48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-5.54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-3.41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-5.52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-3.34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-5.23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-5.50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-3.41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-5.23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-3.84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-5.05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-6.75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-7.10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-3.65</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-5.25</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1.60</w:t>
            </w:r>
          </w:p>
        </w:tc>
      </w:tr>
    </w:tbl>
    <w:p>
      <w:r>
        <w:t>标准要求：迎背风面窗平均风压差（绝对值）≤5Pa。结论：该楼</w:t>
      </w:r>
      <w:r>
        <w:rPr>
          <w:b/>
          <w:color w:val="0000FF"/>
        </w:rPr>
        <w:t>达标</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14</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-211(211 212)</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-2.10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-3.74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-1.68</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-2.45</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0.77</w:t>
            </w:r>
          </w:p>
        </w:tc>
      </w:tr>
    </w:tbl>
    <w:p>
      <w:r>
        <w:t>标准要求：迎背风面窗平均风压差（绝对值）≤5Pa。结论：该楼</w:t>
      </w:r>
      <w:r>
        <w:rPr>
          <w:b/>
          <w:color w:val="0000FF"/>
        </w:rPr>
        <w:t>达标</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15</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-212(211 212)</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-1.93</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-2.52</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0.59</w:t>
            </w:r>
          </w:p>
        </w:tc>
      </w:tr>
    </w:tbl>
    <w:p>
      <w:r>
        <w:t>标准要求：迎背风面窗平均风压差（绝对值）≤5Pa。结论：该楼</w:t>
      </w:r>
      <w:r>
        <w:rPr>
          <w:b/>
          <w:color w:val="0000FF"/>
        </w:rPr>
        <w:t>达标</w:t>
      </w:r>
      <w:r>
        <w:t>。</w:t>
      </w:r>
    </w:p>
    <w:bookmarkEnd w:id="27"/>
    <w:bookmarkEnd w:id="30"/>
    <w:p>
      <w:pPr>
        <w:jc w:val="center"/>
        <w:rPr>
          <w:rFonts w:ascii="Cambria" w:hAnsi="Cambria" w:eastAsia="黑体"/>
          <w:sz w:val="20"/>
        </w:rPr>
      </w:pPr>
    </w:p>
    <w:bookmarkEnd w:id="31"/>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16</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201(201)</w:t>
            </w:r>
          </w:p>
        </w:tc>
        <w:tc>
          <w:tcPr>
            <w:tcW w:w="1276" w:type="dxa"/>
            <w:shd w:val="clear" w:color="auto" w:fill="auto"/>
            <w:vAlign w:val="center"/>
          </w:tcPr>
          <w:p>
            <w:pPr>
              <w:jc w:val="center"/>
              <w:rPr>
                <w:lang w:val="en-US"/>
              </w:rPr>
            </w:pPr>
            <w:r>
              <w:rPr>
                <w:lang w:val="en-US"/>
              </w:rPr>
              <w:t>1.48</w:t>
            </w:r>
          </w:p>
        </w:tc>
        <w:tc>
          <w:tcPr>
            <w:tcW w:w="1276" w:type="dxa"/>
            <w:shd w:val="clear" w:color="auto" w:fill="auto"/>
            <w:vAlign w:val="center"/>
          </w:tcPr>
          <w:p>
            <w:pPr>
              <w:jc w:val="center"/>
              <w:rPr>
                <w:lang w:val="en-US"/>
              </w:rPr>
            </w:pPr>
            <w:r>
              <w:rPr>
                <w:lang w:val="en-US"/>
              </w:rPr>
              <w:t>-0.79</w:t>
            </w:r>
          </w:p>
        </w:tc>
        <w:tc>
          <w:tcPr>
            <w:tcW w:w="1701" w:type="dxa"/>
            <w:shd w:val="clear" w:color="auto" w:fill="auto"/>
            <w:vAlign w:val="center"/>
          </w:tcPr>
          <w:p>
            <w:pPr>
              <w:jc w:val="center"/>
              <w:rPr>
                <w:lang w:val="en-US"/>
              </w:rPr>
            </w:pPr>
            <w:r>
              <w:rPr>
                <w:lang w:val="en-US"/>
              </w:rPr>
              <w:t>2.27</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202(202)</w:t>
            </w:r>
          </w:p>
        </w:tc>
        <w:tc>
          <w:tcPr>
            <w:tcW w:w="1276" w:type="dxa"/>
            <w:shd w:val="clear" w:color="auto" w:fill="auto"/>
            <w:vAlign w:val="center"/>
          </w:tcPr>
          <w:p>
            <w:pPr>
              <w:jc w:val="center"/>
              <w:rPr>
                <w:lang w:val="en-US"/>
              </w:rPr>
            </w:pPr>
            <w:r>
              <w:rPr>
                <w:lang w:val="en-US"/>
              </w:rPr>
              <w:t>-0.63</w:t>
            </w:r>
          </w:p>
        </w:tc>
        <w:tc>
          <w:tcPr>
            <w:tcW w:w="1276" w:type="dxa"/>
            <w:shd w:val="clear" w:color="auto" w:fill="auto"/>
            <w:vAlign w:val="center"/>
          </w:tcPr>
          <w:p>
            <w:pPr>
              <w:jc w:val="center"/>
              <w:rPr>
                <w:lang w:val="en-US"/>
              </w:rPr>
            </w:pPr>
            <w:r>
              <w:rPr>
                <w:lang w:val="en-US"/>
              </w:rPr>
              <w:t>-1.96</w:t>
            </w:r>
          </w:p>
        </w:tc>
        <w:tc>
          <w:tcPr>
            <w:tcW w:w="1701" w:type="dxa"/>
            <w:shd w:val="clear" w:color="auto" w:fill="auto"/>
            <w:vAlign w:val="center"/>
          </w:tcPr>
          <w:p>
            <w:pPr>
              <w:jc w:val="center"/>
              <w:rPr>
                <w:lang w:val="en-US"/>
              </w:rPr>
            </w:pPr>
            <w:r>
              <w:rPr>
                <w:lang w:val="en-US"/>
              </w:rPr>
              <w:t>1.33</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203-R(203-R)</w:t>
            </w:r>
          </w:p>
        </w:tc>
        <w:tc>
          <w:tcPr>
            <w:tcW w:w="1276" w:type="dxa"/>
            <w:shd w:val="clear" w:color="auto" w:fill="auto"/>
            <w:vAlign w:val="center"/>
          </w:tcPr>
          <w:p>
            <w:pPr>
              <w:jc w:val="center"/>
              <w:rPr>
                <w:lang w:val="en-US"/>
              </w:rPr>
            </w:pPr>
            <w:r>
              <w:rPr>
                <w:lang w:val="en-US"/>
              </w:rPr>
              <w:t>-0.61</w:t>
            </w:r>
          </w:p>
        </w:tc>
        <w:tc>
          <w:tcPr>
            <w:tcW w:w="1276" w:type="dxa"/>
            <w:shd w:val="clear" w:color="auto" w:fill="auto"/>
            <w:vAlign w:val="center"/>
          </w:tcPr>
          <w:p>
            <w:pPr>
              <w:jc w:val="center"/>
              <w:rPr>
                <w:lang w:val="en-US"/>
              </w:rPr>
            </w:pPr>
            <w:r>
              <w:rPr>
                <w:lang w:val="en-US"/>
              </w:rPr>
              <w:t>-0.52</w:t>
            </w:r>
          </w:p>
        </w:tc>
        <w:tc>
          <w:tcPr>
            <w:tcW w:w="1701" w:type="dxa"/>
            <w:shd w:val="clear" w:color="auto" w:fill="auto"/>
            <w:vAlign w:val="center"/>
          </w:tcPr>
          <w:p>
            <w:pPr>
              <w:jc w:val="center"/>
              <w:rPr>
                <w:lang w:val="en-US"/>
              </w:rPr>
            </w:pPr>
            <w:r>
              <w:rPr>
                <w:lang w:val="en-US"/>
              </w:rPr>
              <w:t>-0.09</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203公建(203公建)</w:t>
            </w:r>
          </w:p>
        </w:tc>
        <w:tc>
          <w:tcPr>
            <w:tcW w:w="1276" w:type="dxa"/>
            <w:shd w:val="clear" w:color="auto" w:fill="auto"/>
            <w:vAlign w:val="center"/>
          </w:tcPr>
          <w:p>
            <w:pPr>
              <w:jc w:val="center"/>
              <w:rPr>
                <w:lang w:val="en-US"/>
              </w:rPr>
            </w:pPr>
            <w:r>
              <w:rPr>
                <w:lang w:val="en-US"/>
              </w:rPr>
              <w:t>0.20</w:t>
            </w:r>
          </w:p>
        </w:tc>
        <w:tc>
          <w:tcPr>
            <w:tcW w:w="1276" w:type="dxa"/>
            <w:shd w:val="clear" w:color="auto" w:fill="auto"/>
            <w:vAlign w:val="center"/>
          </w:tcPr>
          <w:p>
            <w:pPr>
              <w:jc w:val="center"/>
              <w:rPr>
                <w:lang w:val="en-US"/>
              </w:rPr>
            </w:pPr>
            <w:r>
              <w:rPr>
                <w:lang w:val="en-US"/>
              </w:rPr>
              <w:t>-0.74</w:t>
            </w:r>
          </w:p>
        </w:tc>
        <w:tc>
          <w:tcPr>
            <w:tcW w:w="1701" w:type="dxa"/>
            <w:shd w:val="clear" w:color="auto" w:fill="auto"/>
            <w:vAlign w:val="center"/>
          </w:tcPr>
          <w:p>
            <w:pPr>
              <w:jc w:val="center"/>
              <w:rPr>
                <w:lang w:val="en-US"/>
              </w:rPr>
            </w:pPr>
            <w:r>
              <w:rPr>
                <w:lang w:val="en-US"/>
              </w:rPr>
              <w:t>0.94</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203住宅(203住宅)</w:t>
            </w:r>
          </w:p>
        </w:tc>
        <w:tc>
          <w:tcPr>
            <w:tcW w:w="1276" w:type="dxa"/>
            <w:shd w:val="clear" w:color="auto" w:fill="auto"/>
            <w:vAlign w:val="center"/>
          </w:tcPr>
          <w:p>
            <w:pPr>
              <w:jc w:val="center"/>
              <w:rPr>
                <w:lang w:val="en-US"/>
              </w:rPr>
            </w:pPr>
            <w:r>
              <w:rPr>
                <w:lang w:val="en-US"/>
              </w:rPr>
              <w:t>-0.30</w:t>
            </w:r>
          </w:p>
        </w:tc>
        <w:tc>
          <w:tcPr>
            <w:tcW w:w="1276" w:type="dxa"/>
            <w:shd w:val="clear" w:color="auto" w:fill="auto"/>
            <w:vAlign w:val="center"/>
          </w:tcPr>
          <w:p>
            <w:pPr>
              <w:jc w:val="center"/>
              <w:rPr>
                <w:lang w:val="en-US"/>
              </w:rPr>
            </w:pPr>
            <w:r>
              <w:rPr>
                <w:lang w:val="en-US"/>
              </w:rPr>
              <w:t>-1.94</w:t>
            </w:r>
          </w:p>
        </w:tc>
        <w:tc>
          <w:tcPr>
            <w:tcW w:w="1701" w:type="dxa"/>
            <w:shd w:val="clear" w:color="auto" w:fill="auto"/>
            <w:vAlign w:val="center"/>
          </w:tcPr>
          <w:p>
            <w:pPr>
              <w:jc w:val="center"/>
              <w:rPr>
                <w:lang w:val="en-US"/>
              </w:rPr>
            </w:pPr>
            <w:r>
              <w:rPr>
                <w:lang w:val="en-US"/>
              </w:rPr>
              <w:t>1.64</w:t>
            </w:r>
          </w:p>
        </w:tc>
        <w:tc>
          <w:tcPr>
            <w:tcW w:w="973" w:type="dxa"/>
            <w:shd w:val="clear" w:color="auto" w:fill="auto"/>
            <w:vAlign w:val="center"/>
          </w:tcPr>
          <w:p>
            <w:pPr>
              <w:jc w:val="center"/>
              <w:rPr>
                <w:lang w:val="en-US"/>
              </w:rPr>
            </w:pPr>
            <w:r>
              <w:rPr>
                <w:lang w:val="en-US"/>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204(204)</w:t>
            </w:r>
          </w:p>
        </w:tc>
        <w:tc>
          <w:tcPr>
            <w:tcW w:w="1276" w:type="dxa"/>
            <w:shd w:val="clear" w:color="auto" w:fill="auto"/>
            <w:vAlign w:val="center"/>
          </w:tcPr>
          <w:p>
            <w:pPr>
              <w:jc w:val="center"/>
              <w:rPr>
                <w:lang w:val="en-US"/>
              </w:rPr>
            </w:pPr>
            <w:r>
              <w:rPr>
                <w:lang w:val="en-US"/>
              </w:rPr>
              <w:t>0.51</w:t>
            </w:r>
          </w:p>
        </w:tc>
        <w:tc>
          <w:tcPr>
            <w:tcW w:w="1276" w:type="dxa"/>
            <w:shd w:val="clear" w:color="auto" w:fill="auto"/>
            <w:vAlign w:val="center"/>
          </w:tcPr>
          <w:p>
            <w:pPr>
              <w:jc w:val="center"/>
              <w:rPr>
                <w:lang w:val="en-US"/>
              </w:rPr>
            </w:pPr>
            <w:r>
              <w:rPr>
                <w:lang w:val="en-US"/>
              </w:rPr>
              <w:t>-3.57</w:t>
            </w:r>
          </w:p>
        </w:tc>
        <w:tc>
          <w:tcPr>
            <w:tcW w:w="1701" w:type="dxa"/>
            <w:shd w:val="clear" w:color="auto" w:fill="auto"/>
            <w:vAlign w:val="center"/>
          </w:tcPr>
          <w:p>
            <w:pPr>
              <w:jc w:val="center"/>
              <w:rPr>
                <w:lang w:val="en-US"/>
              </w:rPr>
            </w:pPr>
            <w:r>
              <w:rPr>
                <w:lang w:val="en-US"/>
              </w:rPr>
              <w:t>4.08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205(205)</w:t>
            </w:r>
          </w:p>
        </w:tc>
        <w:tc>
          <w:tcPr>
            <w:tcW w:w="1276" w:type="dxa"/>
            <w:shd w:val="clear" w:color="auto" w:fill="auto"/>
            <w:vAlign w:val="center"/>
          </w:tcPr>
          <w:p>
            <w:pPr>
              <w:jc w:val="center"/>
              <w:rPr>
                <w:lang w:val="en-US"/>
              </w:rPr>
            </w:pPr>
            <w:r>
              <w:rPr>
                <w:lang w:val="en-US"/>
              </w:rPr>
              <w:t>-1.22</w:t>
            </w:r>
          </w:p>
        </w:tc>
        <w:tc>
          <w:tcPr>
            <w:tcW w:w="1276" w:type="dxa"/>
            <w:shd w:val="clear" w:color="auto" w:fill="auto"/>
            <w:vAlign w:val="center"/>
          </w:tcPr>
          <w:p>
            <w:pPr>
              <w:jc w:val="center"/>
              <w:rPr>
                <w:lang w:val="en-US"/>
              </w:rPr>
            </w:pPr>
            <w:r>
              <w:rPr>
                <w:lang w:val="en-US"/>
              </w:rPr>
              <w:t>-2.69</w:t>
            </w:r>
          </w:p>
        </w:tc>
        <w:tc>
          <w:tcPr>
            <w:tcW w:w="1701" w:type="dxa"/>
            <w:shd w:val="clear" w:color="auto" w:fill="auto"/>
            <w:vAlign w:val="center"/>
          </w:tcPr>
          <w:p>
            <w:pPr>
              <w:jc w:val="center"/>
              <w:rPr>
                <w:lang w:val="en-US"/>
              </w:rPr>
            </w:pPr>
            <w:r>
              <w:rPr>
                <w:lang w:val="en-US"/>
              </w:rPr>
              <w:t>1.47</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206(206)</w:t>
            </w:r>
          </w:p>
        </w:tc>
        <w:tc>
          <w:tcPr>
            <w:tcW w:w="1276" w:type="dxa"/>
            <w:shd w:val="clear" w:color="auto" w:fill="auto"/>
            <w:vAlign w:val="center"/>
          </w:tcPr>
          <w:p>
            <w:pPr>
              <w:jc w:val="center"/>
              <w:rPr>
                <w:lang w:val="en-US"/>
              </w:rPr>
            </w:pPr>
            <w:r>
              <w:rPr>
                <w:lang w:val="en-US"/>
              </w:rPr>
              <w:t>-1.08</w:t>
            </w:r>
          </w:p>
        </w:tc>
        <w:tc>
          <w:tcPr>
            <w:tcW w:w="1276" w:type="dxa"/>
            <w:shd w:val="clear" w:color="auto" w:fill="auto"/>
            <w:vAlign w:val="center"/>
          </w:tcPr>
          <w:p>
            <w:pPr>
              <w:jc w:val="center"/>
              <w:rPr>
                <w:lang w:val="en-US"/>
              </w:rPr>
            </w:pPr>
            <w:r>
              <w:rPr>
                <w:lang w:val="en-US"/>
              </w:rPr>
              <w:t>-3.06</w:t>
            </w:r>
          </w:p>
        </w:tc>
        <w:tc>
          <w:tcPr>
            <w:tcW w:w="1701" w:type="dxa"/>
            <w:shd w:val="clear" w:color="auto" w:fill="auto"/>
            <w:vAlign w:val="center"/>
          </w:tcPr>
          <w:p>
            <w:pPr>
              <w:jc w:val="center"/>
              <w:rPr>
                <w:lang w:val="en-US"/>
              </w:rPr>
            </w:pPr>
            <w:r>
              <w:rPr>
                <w:lang w:val="en-US"/>
              </w:rPr>
              <w:t>1.98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207(207)</w:t>
            </w:r>
          </w:p>
        </w:tc>
        <w:tc>
          <w:tcPr>
            <w:tcW w:w="1276" w:type="dxa"/>
            <w:shd w:val="clear" w:color="auto" w:fill="auto"/>
            <w:vAlign w:val="center"/>
          </w:tcPr>
          <w:p>
            <w:pPr>
              <w:jc w:val="center"/>
              <w:rPr>
                <w:lang w:val="en-US"/>
              </w:rPr>
            </w:pPr>
            <w:r>
              <w:rPr>
                <w:lang w:val="en-US"/>
              </w:rPr>
              <w:t>-0.16</w:t>
            </w:r>
          </w:p>
        </w:tc>
        <w:tc>
          <w:tcPr>
            <w:tcW w:w="1276" w:type="dxa"/>
            <w:shd w:val="clear" w:color="auto" w:fill="auto"/>
            <w:vAlign w:val="center"/>
          </w:tcPr>
          <w:p>
            <w:pPr>
              <w:jc w:val="center"/>
              <w:rPr>
                <w:lang w:val="en-US"/>
              </w:rPr>
            </w:pPr>
            <w:r>
              <w:rPr>
                <w:lang w:val="en-US"/>
              </w:rPr>
              <w:t>-4.20</w:t>
            </w:r>
          </w:p>
        </w:tc>
        <w:tc>
          <w:tcPr>
            <w:tcW w:w="1701" w:type="dxa"/>
            <w:shd w:val="clear" w:color="auto" w:fill="auto"/>
            <w:vAlign w:val="center"/>
          </w:tcPr>
          <w:p>
            <w:pPr>
              <w:jc w:val="center"/>
              <w:rPr>
                <w:lang w:val="en-US"/>
              </w:rPr>
            </w:pPr>
            <w:r>
              <w:rPr>
                <w:lang w:val="en-US"/>
              </w:rPr>
              <w:t>4.04</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208(208 209)</w:t>
            </w:r>
          </w:p>
        </w:tc>
        <w:tc>
          <w:tcPr>
            <w:tcW w:w="1276" w:type="dxa"/>
            <w:shd w:val="clear" w:color="auto" w:fill="auto"/>
            <w:vAlign w:val="center"/>
          </w:tcPr>
          <w:p>
            <w:pPr>
              <w:jc w:val="center"/>
              <w:rPr>
                <w:lang w:val="en-US"/>
              </w:rPr>
            </w:pPr>
            <w:r>
              <w:rPr>
                <w:lang w:val="en-US"/>
              </w:rPr>
              <w:t>-1.31</w:t>
            </w:r>
          </w:p>
        </w:tc>
        <w:tc>
          <w:tcPr>
            <w:tcW w:w="1276" w:type="dxa"/>
            <w:shd w:val="clear" w:color="auto" w:fill="auto"/>
            <w:vAlign w:val="center"/>
          </w:tcPr>
          <w:p>
            <w:pPr>
              <w:jc w:val="center"/>
              <w:rPr>
                <w:lang w:val="en-US"/>
              </w:rPr>
            </w:pPr>
            <w:r>
              <w:rPr>
                <w:lang w:val="en-US"/>
              </w:rPr>
              <w:t>-2.50</w:t>
            </w:r>
          </w:p>
        </w:tc>
        <w:tc>
          <w:tcPr>
            <w:tcW w:w="1701" w:type="dxa"/>
            <w:shd w:val="clear" w:color="auto" w:fill="auto"/>
            <w:vAlign w:val="center"/>
          </w:tcPr>
          <w:p>
            <w:pPr>
              <w:jc w:val="center"/>
              <w:rPr>
                <w:lang w:val="en-US"/>
              </w:rPr>
            </w:pPr>
            <w:r>
              <w:rPr>
                <w:lang w:val="en-US"/>
              </w:rPr>
              <w:t>1.19</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209(208 209)</w:t>
            </w:r>
          </w:p>
        </w:tc>
        <w:tc>
          <w:tcPr>
            <w:tcW w:w="1276" w:type="dxa"/>
            <w:shd w:val="clear" w:color="auto" w:fill="auto"/>
            <w:vAlign w:val="center"/>
          </w:tcPr>
          <w:p>
            <w:pPr>
              <w:jc w:val="center"/>
              <w:rPr>
                <w:lang w:val="en-US"/>
              </w:rPr>
            </w:pPr>
            <w:r>
              <w:rPr>
                <w:lang w:val="en-US"/>
              </w:rPr>
              <w:t>-3.56</w:t>
            </w:r>
          </w:p>
        </w:tc>
        <w:tc>
          <w:tcPr>
            <w:tcW w:w="1276" w:type="dxa"/>
            <w:shd w:val="clear" w:color="auto" w:fill="auto"/>
            <w:vAlign w:val="center"/>
          </w:tcPr>
          <w:p>
            <w:pPr>
              <w:jc w:val="center"/>
              <w:rPr>
                <w:lang w:val="en-US"/>
              </w:rPr>
            </w:pPr>
            <w:r>
              <w:rPr>
                <w:lang w:val="en-US"/>
              </w:rPr>
              <w:t>-4.35</w:t>
            </w:r>
          </w:p>
        </w:tc>
        <w:tc>
          <w:tcPr>
            <w:tcW w:w="1701" w:type="dxa"/>
            <w:shd w:val="clear" w:color="auto" w:fill="auto"/>
            <w:vAlign w:val="center"/>
          </w:tcPr>
          <w:p>
            <w:pPr>
              <w:jc w:val="center"/>
              <w:rPr>
                <w:lang w:val="en-US"/>
              </w:rPr>
            </w:pPr>
            <w:r>
              <w:rPr>
                <w:lang w:val="en-US"/>
              </w:rPr>
              <w:t>0.79</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210(210)</w:t>
            </w:r>
          </w:p>
        </w:tc>
        <w:tc>
          <w:tcPr>
            <w:tcW w:w="1276" w:type="dxa"/>
            <w:shd w:val="clear" w:color="auto" w:fill="auto"/>
            <w:vAlign w:val="center"/>
          </w:tcPr>
          <w:p>
            <w:pPr>
              <w:jc w:val="center"/>
              <w:rPr>
                <w:lang w:val="en-US"/>
              </w:rPr>
            </w:pPr>
            <w:r>
              <w:rPr>
                <w:lang w:val="en-US"/>
              </w:rPr>
              <w:t>-3.65</w:t>
            </w:r>
          </w:p>
        </w:tc>
        <w:tc>
          <w:tcPr>
            <w:tcW w:w="1276" w:type="dxa"/>
            <w:shd w:val="clear" w:color="auto" w:fill="auto"/>
            <w:vAlign w:val="center"/>
          </w:tcPr>
          <w:p>
            <w:pPr>
              <w:jc w:val="center"/>
              <w:rPr>
                <w:lang w:val="en-US"/>
              </w:rPr>
            </w:pPr>
            <w:r>
              <w:rPr>
                <w:lang w:val="en-US"/>
              </w:rPr>
              <w:t>-5.25</w:t>
            </w:r>
          </w:p>
        </w:tc>
        <w:tc>
          <w:tcPr>
            <w:tcW w:w="1701" w:type="dxa"/>
            <w:shd w:val="clear" w:color="auto" w:fill="auto"/>
            <w:vAlign w:val="center"/>
          </w:tcPr>
          <w:p>
            <w:pPr>
              <w:jc w:val="center"/>
              <w:rPr>
                <w:lang w:val="en-US"/>
              </w:rPr>
            </w:pPr>
            <w:r>
              <w:rPr>
                <w:lang w:val="en-US"/>
              </w:rPr>
              <w:t>1.60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211(211 212)</w:t>
            </w:r>
          </w:p>
        </w:tc>
        <w:tc>
          <w:tcPr>
            <w:tcW w:w="1276" w:type="dxa"/>
            <w:shd w:val="clear" w:color="auto" w:fill="auto"/>
            <w:vAlign w:val="center"/>
          </w:tcPr>
          <w:p>
            <w:pPr>
              <w:jc w:val="center"/>
              <w:rPr>
                <w:lang w:val="en-US"/>
              </w:rPr>
            </w:pPr>
            <w:r>
              <w:rPr>
                <w:lang w:val="en-US"/>
              </w:rPr>
              <w:t>-1.68</w:t>
            </w:r>
          </w:p>
        </w:tc>
        <w:tc>
          <w:tcPr>
            <w:tcW w:w="1276" w:type="dxa"/>
            <w:shd w:val="clear" w:color="auto" w:fill="auto"/>
            <w:vAlign w:val="center"/>
          </w:tcPr>
          <w:p>
            <w:pPr>
              <w:jc w:val="center"/>
              <w:rPr>
                <w:lang w:val="en-US"/>
              </w:rPr>
            </w:pPr>
            <w:r>
              <w:rPr>
                <w:lang w:val="en-US"/>
              </w:rPr>
              <w:t>-2.45</w:t>
            </w:r>
          </w:p>
        </w:tc>
        <w:tc>
          <w:tcPr>
            <w:tcW w:w="1701" w:type="dxa"/>
            <w:shd w:val="clear" w:color="auto" w:fill="auto"/>
            <w:vAlign w:val="center"/>
          </w:tcPr>
          <w:p>
            <w:pPr>
              <w:jc w:val="center"/>
              <w:rPr>
                <w:lang w:val="en-US"/>
              </w:rPr>
            </w:pPr>
            <w:r>
              <w:rPr>
                <w:lang w:val="en-US"/>
              </w:rPr>
              <w:t>0.77</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212(211 212)</w:t>
            </w:r>
          </w:p>
        </w:tc>
        <w:tc>
          <w:tcPr>
            <w:tcW w:w="1276" w:type="dxa"/>
            <w:shd w:val="clear" w:color="auto" w:fill="auto"/>
            <w:vAlign w:val="center"/>
          </w:tcPr>
          <w:p>
            <w:pPr>
              <w:jc w:val="center"/>
              <w:rPr>
                <w:lang w:val="en-US"/>
              </w:rPr>
            </w:pPr>
            <w:r>
              <w:rPr>
                <w:lang w:val="en-US"/>
              </w:rPr>
              <w:t>-1.93</w:t>
            </w:r>
          </w:p>
        </w:tc>
        <w:tc>
          <w:tcPr>
            <w:tcW w:w="1276" w:type="dxa"/>
            <w:shd w:val="clear" w:color="auto" w:fill="auto"/>
            <w:vAlign w:val="center"/>
          </w:tcPr>
          <w:p>
            <w:pPr>
              <w:jc w:val="center"/>
              <w:rPr>
                <w:lang w:val="en-US"/>
              </w:rPr>
            </w:pPr>
            <w:r>
              <w:rPr>
                <w:lang w:val="en-US"/>
              </w:rPr>
              <w:t>-2.52</w:t>
            </w:r>
          </w:p>
        </w:tc>
        <w:tc>
          <w:tcPr>
            <w:tcW w:w="1701" w:type="dxa"/>
            <w:shd w:val="clear" w:color="auto" w:fill="auto"/>
            <w:vAlign w:val="center"/>
          </w:tcPr>
          <w:p>
            <w:pPr>
              <w:jc w:val="center"/>
              <w:rPr>
                <w:lang w:val="en-US"/>
              </w:rPr>
            </w:pPr>
            <w:r>
              <w:rPr>
                <w:lang w:val="en-US"/>
              </w:rPr>
              <w:t>0.59</w:t>
            </w:r>
          </w:p>
        </w:tc>
        <w:tc>
          <w:tcPr>
            <w:tcW w:w="973" w:type="dxa"/>
            <w:shd w:val="clear" w:color="auto" w:fill="auto"/>
            <w:vAlign w:val="center"/>
          </w:tcPr>
          <w:p>
            <w:pPr>
              <w:jc w:val="center"/>
              <w:rPr>
                <w:lang w:val="en-US"/>
              </w:rPr>
            </w:pPr>
            <w:r>
              <w:rPr>
                <w:lang w:val="en-US"/>
              </w:rPr>
              <w:t>是</w:t>
            </w:r>
          </w:p>
        </w:tc>
      </w:tr>
      <w:bookmarkEnd w:id="32"/>
      <w:bookmarkEnd w:id="35"/>
    </w:tbl>
    <w:p>
      <w:pPr>
        <w:rPr>
          <w:lang w:val="en-US"/>
        </w:rPr>
      </w:pPr>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68" w:name="冬季工况"/>
      <w:bookmarkEnd w:id="68"/>
      <w:r>
        <w:rPr>
          <w:rFonts w:hint="eastAsia"/>
          <w:lang w:val="en-US"/>
        </w:rPr>
        <w:t xml:space="preserve"> </w:t>
      </w:r>
    </w:p>
    <w:p>
      <w:pPr>
        <w:rPr>
          <w:lang w:val="en-US"/>
        </w:rPr>
      </w:pPr>
      <w:bookmarkStart w:id="69" w:name="其他工况"/>
      <w:bookmarkEnd w:id="69"/>
      <w:r>
        <w:rPr>
          <w:rFonts w:hint="eastAsia"/>
          <w:lang w:val="en-US"/>
        </w:rPr>
        <w:t xml:space="preserve"> </w:t>
      </w:r>
    </w:p>
    <w:p>
      <w:pPr>
        <w:pStyle w:val="4"/>
      </w:pPr>
      <w:bookmarkStart w:id="70" w:name="_Toc509844764"/>
      <w:bookmarkStart w:id="71" w:name="_Toc27288"/>
      <w:r>
        <w:rPr>
          <w:rFonts w:hint="eastAsia"/>
        </w:rPr>
        <w:t>结论</w:t>
      </w:r>
      <w:bookmarkEnd w:id="70"/>
      <w:bookmarkEnd w:id="71"/>
    </w:p>
    <w:p>
      <w:pPr>
        <w:pStyle w:val="5"/>
      </w:pPr>
      <w:bookmarkStart w:id="72" w:name="_Toc19286"/>
      <w:r>
        <w:rPr>
          <w:rFonts w:hint="eastAsia"/>
        </w:rPr>
        <w:t>冬季工况达标判断</w:t>
      </w:r>
      <w:bookmarkEnd w:id="0"/>
      <w:bookmarkEnd w:id="1"/>
      <w:bookmarkEnd w:id="7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冬季典型风速和风向条件下，建筑物周围人行区</w:t>
            </w:r>
            <w:r>
              <w:rPr>
                <w:rFonts w:hint="eastAsia"/>
                <w:b/>
                <w:lang w:val="en-US"/>
              </w:rPr>
              <w:t>风速低于</w:t>
            </w:r>
            <w:r>
              <w:rPr>
                <w:b/>
                <w:lang w:val="en-US"/>
              </w:rPr>
              <w:t>5m/s</w:t>
            </w:r>
            <w:r>
              <w:rPr>
                <w:rFonts w:hint="eastAsia"/>
                <w:lang w:val="en-US"/>
              </w:rPr>
              <w:t>，</w:t>
            </w:r>
            <w:r>
              <w:rPr>
                <w:rFonts w:hint="eastAsia"/>
                <w:b/>
                <w:lang w:val="en-US"/>
              </w:rPr>
              <w:t>且</w:t>
            </w:r>
            <w:r>
              <w:rPr>
                <w:rFonts w:hint="eastAsia"/>
                <w:lang w:val="en-US"/>
              </w:rPr>
              <w:t>室外</w:t>
            </w:r>
            <w:r>
              <w:rPr>
                <w:rFonts w:hint="eastAsia"/>
                <w:b/>
                <w:lang w:val="en-US"/>
              </w:rPr>
              <w:t>风速放大系数小于</w:t>
            </w:r>
            <w:r>
              <w:rPr>
                <w:b/>
                <w:lang w:val="en-US"/>
              </w:rPr>
              <w:t>2</w:t>
            </w:r>
            <w:r>
              <w:rPr>
                <w:rFonts w:hint="eastAsia"/>
                <w:lang w:val="en-US"/>
              </w:rPr>
              <w:t>，得2分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2"/>
            <w:r>
              <w:rPr>
                <w:rFonts w:hint="eastAsia"/>
                <w:lang w:val="en-US"/>
              </w:rPr>
              <w:t>风速大于</w:t>
            </w:r>
            <w:r>
              <w:rPr>
                <w:lang w:val="en-US"/>
              </w:rPr>
              <w:t>5m/s</w:t>
            </w:r>
            <w:r>
              <w:rPr>
                <w:rFonts w:hint="eastAsia"/>
                <w:lang w:val="en-US"/>
              </w:rPr>
              <w:t>的区域</w:t>
            </w:r>
            <w:r>
              <w:rPr>
                <w:lang w:val="en-US"/>
              </w:rPr>
              <w:t>未出现风速超标区域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bookmarkEnd w:id="3"/>
            <w:bookmarkStart w:id="74" w:name="_GoBack"/>
            <w:bookmarkEnd w:id="74"/>
          </w:p>
          <w:bookmarkEnd w:id="4"/>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2</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w:t>
            </w:r>
            <w:r>
              <w:rPr>
                <w:color w:val="auto"/>
              </w:rPr>
              <w:t>出现</w:t>
            </w:r>
            <w:bookmarkEnd w:id="5"/>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除迎风第一排建筑外，建筑迎风面与背风面表面风压差不超过5Pa，得1分</w:t>
            </w:r>
          </w:p>
        </w:tc>
        <w:tc>
          <w:tcPr>
            <w:tcW w:w="1985" w:type="dxa"/>
            <w:shd w:val="clear" w:color="auto" w:fill="auto"/>
            <w:vAlign w:val="center"/>
          </w:tcPr>
          <w:p>
            <w:pPr>
              <w:jc w:val="center"/>
              <w:rPr>
                <w:lang w:val="en-US"/>
              </w:rPr>
            </w:pPr>
            <w:r>
              <w:rPr>
                <w:rFonts w:hint="eastAsia"/>
                <w:lang w:val="en-US"/>
              </w:rPr>
              <w:t>本项目</w:t>
            </w:r>
            <w:r>
              <w:t>没有出现</w:t>
            </w:r>
            <w:bookmarkEnd w:id="6"/>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lang w:val="en-US"/>
              </w:rPr>
              <w:t>达标</w:t>
            </w:r>
            <w:bookmarkEnd w:id="7"/>
            <w:bookmarkEnd w:id="34"/>
          </w:p>
        </w:tc>
        <w:tc>
          <w:tcPr>
            <w:tcW w:w="1416" w:type="dxa"/>
            <w:shd w:val="clear" w:color="auto" w:fill="auto"/>
            <w:vAlign w:val="center"/>
          </w:tcPr>
          <w:p>
            <w:pPr>
              <w:jc w:val="center"/>
              <w:rPr>
                <w:lang w:val="en-US"/>
              </w:rPr>
            </w:pPr>
            <w:r>
              <w:rPr>
                <w:rFonts w:hint="eastAsia"/>
                <w:lang w:val="en-US"/>
              </w:rPr>
              <w:t>1</w:t>
            </w:r>
            <w:bookmarkEnd w:id="8"/>
            <w:r>
              <w:rPr>
                <w:rFonts w:hint="eastAsia"/>
                <w:lang w:val="en-US"/>
              </w:rPr>
              <w:t>分</w:t>
            </w:r>
          </w:p>
        </w:tc>
      </w:tr>
      <w:bookmarkEnd w:id="10"/>
      <w:bookmarkEnd w:id="11"/>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3" w:name="总得分"/>
      <w:r>
        <w:rPr>
          <w:rFonts w:hint="eastAsia"/>
          <w:lang w:val="en-US"/>
        </w:rPr>
        <w:t>3</w:t>
      </w:r>
      <w:bookmarkEnd w:id="73"/>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ENT2018</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D1F17"/>
    <w:rsid w:val="000003DF"/>
    <w:rsid w:val="00005045"/>
    <w:rsid w:val="0000578F"/>
    <w:rsid w:val="00015AD3"/>
    <w:rsid w:val="0002001E"/>
    <w:rsid w:val="000219DF"/>
    <w:rsid w:val="00037A4C"/>
    <w:rsid w:val="000678A8"/>
    <w:rsid w:val="00067FD6"/>
    <w:rsid w:val="00070047"/>
    <w:rsid w:val="00073958"/>
    <w:rsid w:val="00081A16"/>
    <w:rsid w:val="000A23A8"/>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1DB5"/>
    <w:rsid w:val="001A7C37"/>
    <w:rsid w:val="001B7C87"/>
    <w:rsid w:val="001C1C39"/>
    <w:rsid w:val="001C4F77"/>
    <w:rsid w:val="001D3014"/>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47B9"/>
    <w:rsid w:val="003857DF"/>
    <w:rsid w:val="003A50E3"/>
    <w:rsid w:val="003A6A7F"/>
    <w:rsid w:val="003B2E2C"/>
    <w:rsid w:val="003C51B9"/>
    <w:rsid w:val="003C5F3A"/>
    <w:rsid w:val="003D123E"/>
    <w:rsid w:val="003D3E8E"/>
    <w:rsid w:val="003E405A"/>
    <w:rsid w:val="00407998"/>
    <w:rsid w:val="00412598"/>
    <w:rsid w:val="00412ACB"/>
    <w:rsid w:val="00413DB8"/>
    <w:rsid w:val="004169B3"/>
    <w:rsid w:val="00437A5C"/>
    <w:rsid w:val="00453246"/>
    <w:rsid w:val="004556B5"/>
    <w:rsid w:val="0046589C"/>
    <w:rsid w:val="0047200C"/>
    <w:rsid w:val="004825F5"/>
    <w:rsid w:val="00483193"/>
    <w:rsid w:val="00494ADE"/>
    <w:rsid w:val="0049520E"/>
    <w:rsid w:val="004A0D3B"/>
    <w:rsid w:val="004C7D33"/>
    <w:rsid w:val="004D230F"/>
    <w:rsid w:val="004D449D"/>
    <w:rsid w:val="004E0319"/>
    <w:rsid w:val="004E2AEB"/>
    <w:rsid w:val="004F0639"/>
    <w:rsid w:val="0050569B"/>
    <w:rsid w:val="00511D13"/>
    <w:rsid w:val="00512B1A"/>
    <w:rsid w:val="00514950"/>
    <w:rsid w:val="005215FB"/>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E2482"/>
    <w:rsid w:val="005F4F73"/>
    <w:rsid w:val="006105F7"/>
    <w:rsid w:val="006156D5"/>
    <w:rsid w:val="0062338D"/>
    <w:rsid w:val="006254D5"/>
    <w:rsid w:val="00634E08"/>
    <w:rsid w:val="00642309"/>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72690"/>
    <w:rsid w:val="00782889"/>
    <w:rsid w:val="00790965"/>
    <w:rsid w:val="007A20AF"/>
    <w:rsid w:val="007A5318"/>
    <w:rsid w:val="007B2D7C"/>
    <w:rsid w:val="007B61C5"/>
    <w:rsid w:val="007C15B9"/>
    <w:rsid w:val="007C4F93"/>
    <w:rsid w:val="007D02FB"/>
    <w:rsid w:val="007D386E"/>
    <w:rsid w:val="007E5D0D"/>
    <w:rsid w:val="007E6E69"/>
    <w:rsid w:val="00800A8B"/>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B4ED4"/>
    <w:rsid w:val="008C231A"/>
    <w:rsid w:val="008C2A0D"/>
    <w:rsid w:val="008D41A0"/>
    <w:rsid w:val="008D484C"/>
    <w:rsid w:val="008D7355"/>
    <w:rsid w:val="008E5E54"/>
    <w:rsid w:val="008F3303"/>
    <w:rsid w:val="00902A4F"/>
    <w:rsid w:val="00920203"/>
    <w:rsid w:val="0092087D"/>
    <w:rsid w:val="00920DAA"/>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D0C1B"/>
    <w:rsid w:val="00BE0E75"/>
    <w:rsid w:val="00BE4681"/>
    <w:rsid w:val="00BE75B4"/>
    <w:rsid w:val="00BF173E"/>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143F"/>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 w:val="31721020"/>
    <w:rsid w:val="4BBD1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8" Type="http://schemas.openxmlformats.org/officeDocument/2006/relationships/fontTable" Target="fontTable.xml"/><Relationship Id="rId77" Type="http://schemas.openxmlformats.org/officeDocument/2006/relationships/customXml" Target="../customXml/item2.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62.png"/><Relationship Id="rId73" Type="http://schemas.openxmlformats.org/officeDocument/2006/relationships/image" Target="media/image61.png"/><Relationship Id="rId72" Type="http://schemas.openxmlformats.org/officeDocument/2006/relationships/image" Target="media/image60.png"/><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wmf"/><Relationship Id="rId65" Type="http://schemas.openxmlformats.org/officeDocument/2006/relationships/oleObject" Target="embeddings/oleObject7.bin"/><Relationship Id="rId64" Type="http://schemas.openxmlformats.org/officeDocument/2006/relationships/image" Target="media/image53.wmf"/><Relationship Id="rId63" Type="http://schemas.openxmlformats.org/officeDocument/2006/relationships/oleObject" Target="embeddings/oleObject6.bin"/><Relationship Id="rId62" Type="http://schemas.openxmlformats.org/officeDocument/2006/relationships/image" Target="media/image52.wmf"/><Relationship Id="rId61" Type="http://schemas.openxmlformats.org/officeDocument/2006/relationships/oleObject" Target="embeddings/oleObject5.bin"/><Relationship Id="rId60" Type="http://schemas.openxmlformats.org/officeDocument/2006/relationships/image" Target="media/image51.wmf"/><Relationship Id="rId6" Type="http://schemas.openxmlformats.org/officeDocument/2006/relationships/theme" Target="theme/theme1.xml"/><Relationship Id="rId59" Type="http://schemas.openxmlformats.org/officeDocument/2006/relationships/oleObject" Target="embeddings/oleObject4.bin"/><Relationship Id="rId58" Type="http://schemas.openxmlformats.org/officeDocument/2006/relationships/image" Target="media/image50.wmf"/><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oleObject" Target="embeddings/oleObject2.bin"/><Relationship Id="rId14" Type="http://schemas.openxmlformats.org/officeDocument/2006/relationships/image" Target="media/image8.w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98A94-E256-4980-B061-4FF0A138C2DF}">
  <ds:schemaRefs/>
</ds:datastoreItem>
</file>

<file path=docProps/app.xml><?xml version="1.0" encoding="utf-8"?>
<Properties xmlns="http://schemas.openxmlformats.org/officeDocument/2006/extended-properties" xmlns:vt="http://schemas.openxmlformats.org/officeDocument/2006/docPropsVTypes">
  <Template>tmp5.dotx</Template>
  <Pages>26</Pages>
  <Words>7153</Words>
  <Characters>11046</Characters>
  <Lines>40</Lines>
  <Paragraphs>11</Paragraphs>
  <TotalTime>0</TotalTime>
  <ScaleCrop>false</ScaleCrop>
  <LinksUpToDate>false</LinksUpToDate>
  <CharactersWithSpaces>11288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2022-01-14T06:10:00Z</dcterms:created>
  <dc:creator>WPS_1508576054</dc:creator>
  <cp:lastModifiedBy>WPS_1508576054</cp:lastModifiedBy>
  <dcterms:modified xsi:type="dcterms:W3CDTF">2022-01-14T07:43:54Z</dcterms:modified>
  <dc:title>室外风环境模拟分析报告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