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启新C-02地块项目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唐山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MJ401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北京建都设计研究院有限责任公司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2022年01月14日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855"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855"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_Toc1491 </w:instrText>
      </w:r>
      <w:r>
        <w:rPr>
          <w:rFonts w:ascii="宋体" w:hAnsi="宋体"/>
          <w:bCs w:val="0"/>
          <w:caps/>
        </w:rPr>
        <w:fldChar w:fldCharType="separate"/>
      </w:r>
      <w:r>
        <w:rPr>
          <w:rFonts w:hint="eastAsia"/>
        </w:rPr>
        <w:t>1 项目概况</w:t>
      </w:r>
      <w:r>
        <w:tab/>
      </w:r>
      <w:r>
        <w:fldChar w:fldCharType="begin"/>
      </w:r>
      <w:r>
        <w:instrText xml:space="preserve"> PAGEREF _Toc1491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_Toc11824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_Toc11824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_Toc26008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_Toc26008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_Toc22420 </w:instrText>
      </w:r>
      <w:r>
        <w:fldChar w:fldCharType="separate"/>
      </w:r>
      <w:r>
        <w:rPr>
          <w:rFonts w:hint="eastAsia"/>
        </w:rPr>
        <w:t>2 计算</w:t>
      </w:r>
      <w:r>
        <w:t>依据</w:t>
      </w:r>
      <w:r>
        <w:tab/>
      </w:r>
      <w:r>
        <w:fldChar w:fldCharType="begin"/>
      </w:r>
      <w:r>
        <w:instrText xml:space="preserve"> PAGEREF _Toc22420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_Toc31733 </w:instrText>
      </w:r>
      <w:r>
        <w:fldChar w:fldCharType="separate"/>
      </w:r>
      <w:r>
        <w:rPr>
          <w:rFonts w:hint="eastAsia"/>
        </w:rPr>
        <w:t>3 参考</w:t>
      </w:r>
      <w:r>
        <w:t>标准</w:t>
      </w:r>
      <w:r>
        <w:tab/>
      </w:r>
      <w:r>
        <w:fldChar w:fldCharType="begin"/>
      </w:r>
      <w:r>
        <w:instrText xml:space="preserve"> PAGEREF _Toc31733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_Toc5893 </w:instrText>
      </w:r>
      <w:r>
        <w:fldChar w:fldCharType="separate"/>
      </w:r>
      <w:r>
        <w:rPr>
          <w:rFonts w:hint="eastAsia"/>
        </w:rPr>
        <w:t>4 计算原理</w:t>
      </w:r>
      <w:r>
        <w:tab/>
      </w:r>
      <w:r>
        <w:fldChar w:fldCharType="begin"/>
      </w:r>
      <w:r>
        <w:instrText xml:space="preserve"> PAGEREF _Toc5893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_Toc1962 </w:instrText>
      </w:r>
      <w:r>
        <w:fldChar w:fldCharType="separate"/>
      </w:r>
      <w:r>
        <w:rPr>
          <w:rFonts w:hint="eastAsia"/>
          <w:lang w:val="en-GB"/>
        </w:rPr>
        <w:t xml:space="preserve">4.1 </w:t>
      </w:r>
      <w:r>
        <w:rPr>
          <w:rFonts w:hint="eastAsia"/>
        </w:rPr>
        <w:t>风场计算域</w:t>
      </w:r>
      <w:r>
        <w:tab/>
      </w:r>
      <w:r>
        <w:fldChar w:fldCharType="begin"/>
      </w:r>
      <w:r>
        <w:instrText xml:space="preserve"> PAGEREF _Toc1962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_Toc8429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_Toc8429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_Toc16765 </w:instrText>
      </w:r>
      <w:r>
        <w:fldChar w:fldCharType="separate"/>
      </w:r>
      <w:r>
        <w:rPr>
          <w:rFonts w:hint="eastAsia"/>
          <w:lang w:val="en-GB"/>
        </w:rPr>
        <w:t xml:space="preserve">4.2 </w:t>
      </w:r>
      <w:r>
        <w:rPr>
          <w:rFonts w:hint="eastAsia"/>
        </w:rPr>
        <w:t>网格划分</w:t>
      </w:r>
      <w:r>
        <w:tab/>
      </w:r>
      <w:r>
        <w:fldChar w:fldCharType="begin"/>
      </w:r>
      <w:r>
        <w:instrText xml:space="preserve"> PAGEREF _Toc16765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_Toc20726 </w:instrText>
      </w:r>
      <w:r>
        <w:fldChar w:fldCharType="separate"/>
      </w:r>
      <w:r>
        <w:rPr>
          <w:rFonts w:hint="eastAsia"/>
          <w:lang w:val="en-GB"/>
        </w:rPr>
        <w:t xml:space="preserve">4.3 </w:t>
      </w:r>
      <w:r>
        <w:rPr>
          <w:rFonts w:hint="eastAsia"/>
        </w:rPr>
        <w:t>边界条件</w:t>
      </w:r>
      <w:r>
        <w:tab/>
      </w:r>
      <w:r>
        <w:fldChar w:fldCharType="begin"/>
      </w:r>
      <w:r>
        <w:instrText xml:space="preserve"> PAGEREF _Toc20726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_Toc27775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_Toc27775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_Toc9138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_Toc9138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_Toc27040 </w:instrText>
      </w:r>
      <w:r>
        <w:fldChar w:fldCharType="separate"/>
      </w:r>
      <w:r>
        <w:rPr>
          <w:rFonts w:hint="eastAsia"/>
          <w:lang w:val="en-GB"/>
        </w:rPr>
        <w:t xml:space="preserve">4.4 </w:t>
      </w:r>
      <w:r>
        <w:rPr>
          <w:rFonts w:hint="eastAsia"/>
        </w:rPr>
        <w:t>湍流模型</w:t>
      </w:r>
      <w:r>
        <w:tab/>
      </w:r>
      <w:r>
        <w:fldChar w:fldCharType="begin"/>
      </w:r>
      <w:r>
        <w:instrText xml:space="preserve"> PAGEREF _Toc27040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_Toc31344 </w:instrText>
      </w:r>
      <w:r>
        <w:fldChar w:fldCharType="separate"/>
      </w:r>
      <w:r>
        <w:rPr>
          <w:rFonts w:hint="eastAsia"/>
          <w:lang w:val="en-GB"/>
        </w:rPr>
        <w:t xml:space="preserve">4.5 </w:t>
      </w:r>
      <w:r>
        <w:rPr>
          <w:rFonts w:hint="eastAsia"/>
        </w:rPr>
        <w:t>求解计算</w:t>
      </w:r>
      <w:r>
        <w:tab/>
      </w:r>
      <w:r>
        <w:fldChar w:fldCharType="begin"/>
      </w:r>
      <w:r>
        <w:instrText xml:space="preserve"> PAGEREF _Toc31344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_Toc28836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_Toc28836 \h </w:instrText>
      </w:r>
      <w:r>
        <w:fldChar w:fldCharType="separate"/>
      </w:r>
      <w:r>
        <w:t>11</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_Toc25076 </w:instrText>
      </w:r>
      <w:r>
        <w:fldChar w:fldCharType="separate"/>
      </w:r>
      <w:r>
        <w:rPr>
          <w:rFonts w:hint="eastAsia"/>
        </w:rPr>
        <w:t>5 结果</w:t>
      </w:r>
      <w:r>
        <w:t>分析</w:t>
      </w:r>
      <w:r>
        <w:tab/>
      </w:r>
      <w:r>
        <w:fldChar w:fldCharType="begin"/>
      </w:r>
      <w:r>
        <w:instrText xml:space="preserve"> PAGEREF _Toc25076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_Toc10183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_Toc10183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_Toc32748 </w:instrText>
      </w:r>
      <w:r>
        <w:fldChar w:fldCharType="separate"/>
      </w:r>
      <w:r>
        <w:rPr>
          <w:rFonts w:hint="eastAsia"/>
          <w:lang w:val="en-GB"/>
        </w:rPr>
        <w:t xml:space="preserve">5.2 </w:t>
      </w:r>
      <w:r>
        <w:rPr>
          <w:rFonts w:hint="eastAsia"/>
        </w:rPr>
        <w:t>夏季工况</w:t>
      </w:r>
      <w:r>
        <w:tab/>
      </w:r>
      <w:r>
        <w:fldChar w:fldCharType="begin"/>
      </w:r>
      <w:r>
        <w:instrText xml:space="preserve"> PAGEREF _Toc32748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_Toc24658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_Toc24658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_Toc5005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_Toc5005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_Toc4041 </w:instrText>
      </w:r>
      <w:r>
        <w:fldChar w:fldCharType="separate"/>
      </w:r>
      <w:r>
        <w:rPr>
          <w:rFonts w:hint="eastAsia" w:eastAsia="宋体"/>
          <w:szCs w:val="24"/>
          <w:lang w:val="en-GB"/>
        </w:rPr>
        <w:t xml:space="preserve">5.2.3 </w:t>
      </w:r>
      <w:r>
        <w:rPr>
          <w:rFonts w:hint="eastAsia"/>
        </w:rPr>
        <w:t>人活动区域旋涡区/无风区达标判定</w:t>
      </w:r>
      <w:r>
        <w:tab/>
      </w:r>
      <w:r>
        <w:fldChar w:fldCharType="begin"/>
      </w:r>
      <w:r>
        <w:instrText xml:space="preserve"> PAGEREF _Toc4041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_Toc24504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_Toc24504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_Toc20145 </w:instrText>
      </w:r>
      <w:r>
        <w:fldChar w:fldCharType="separate"/>
      </w:r>
      <w:r>
        <w:rPr>
          <w:rFonts w:hint="eastAsia"/>
          <w:lang w:val="en-GB"/>
        </w:rPr>
        <w:t xml:space="preserve">5.3 </w:t>
      </w:r>
      <w:r>
        <w:rPr>
          <w:rFonts w:hint="eastAsia"/>
        </w:rPr>
        <w:t>结论</w:t>
      </w:r>
      <w:r>
        <w:tab/>
      </w:r>
      <w:r>
        <w:fldChar w:fldCharType="begin"/>
      </w:r>
      <w:r>
        <w:instrText xml:space="preserve"> PAGEREF _Toc20145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_Toc8038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_Toc8038 \h </w:instrText>
      </w:r>
      <w:r>
        <w:fldChar w:fldCharType="separate"/>
      </w:r>
      <w:r>
        <w:t>18</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491"/>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1824"/>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134"/>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1337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
                    <a:stretch>
                      <a:fillRect/>
                    </a:stretch>
                  </pic:blipFill>
                  <pic:spPr>
                    <a:xfrm>
                      <a:off x="0" y="0"/>
                      <a:ext cx="5667375" cy="31337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26008"/>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134"/>
        <w:gridCol w:w="9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1337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
                    <a:stretch>
                      <a:fillRect/>
                    </a:stretch>
                  </pic:blipFill>
                  <pic:spPr>
                    <a:xfrm>
                      <a:off x="0" y="0"/>
                      <a:ext cx="5667375" cy="31337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22420"/>
      <w:bookmarkStart w:id="21" w:name="_Toc452108762"/>
      <w:bookmarkStart w:id="22" w:name="TitleFormat"/>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50378—2014</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31733"/>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50378-2014）中有关室外风环境的条目要求。具体要求如下：</w:t>
      </w:r>
    </w:p>
    <w:p>
      <w:pPr>
        <w:pStyle w:val="3"/>
        <w:ind w:firstLine="420"/>
        <w:rPr>
          <w:lang w:val="en-US"/>
        </w:rPr>
      </w:pPr>
      <w:bookmarkStart w:id="25" w:name="_Toc451698935"/>
      <w:bookmarkStart w:id="26" w:name="_Toc452108764"/>
      <w:bookmarkStart w:id="27" w:name="_Toc451436145"/>
      <w:r>
        <w:rPr>
          <w:rFonts w:hint="eastAsia"/>
          <w:lang w:val="en-US"/>
        </w:rPr>
        <w:t>4.2.6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冬季典型风速和风向条件下，建筑物周围人行区风速低于5m/s，且室外风速放大系数小于2，得2分；除迎风第一排建筑外，建筑迎风面与背风面表面风压差不超过5Pa，得1分。</w:t>
      </w:r>
    </w:p>
    <w:p>
      <w:pPr>
        <w:pStyle w:val="3"/>
        <w:ind w:firstLine="420"/>
        <w:rPr>
          <w:lang w:val="en-US"/>
        </w:rPr>
      </w:pPr>
      <w:r>
        <w:rPr>
          <w:rFonts w:hint="eastAsia"/>
          <w:lang w:val="en-US"/>
        </w:rPr>
        <w:t>2  过渡季、夏季典型风速和风向条件下，场地内人活动区不出现涡旋或无风区，得2分；50%以上可开启外窗室内外表面的风压差大于0.5Pa，得1分。</w:t>
      </w:r>
    </w:p>
    <w:p>
      <w:pPr>
        <w:pStyle w:val="2"/>
      </w:pPr>
      <w:bookmarkStart w:id="28" w:name="_Toc5893"/>
      <w:r>
        <w:rPr>
          <w:rFonts w:hint="eastAsia"/>
        </w:rPr>
        <w:t>计算原理</w:t>
      </w:r>
      <w:bookmarkEnd w:id="28"/>
    </w:p>
    <w:p>
      <w:pPr>
        <w:pStyle w:val="4"/>
        <w:numPr>
          <w:ilvl w:val="1"/>
          <w:numId w:val="3"/>
        </w:numPr>
      </w:pPr>
      <w:bookmarkStart w:id="29" w:name="_Toc1962"/>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8429"/>
      <w:r>
        <w:rPr>
          <w:rFonts w:hint="eastAsia"/>
        </w:rPr>
        <w:t>夏季工况风场计算域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166</w:t>
            </w:r>
          </w:p>
        </w:tc>
      </w:tr>
    </w:tbl>
    <w:p>
      <w:pPr>
        <w:pStyle w:val="3"/>
        <w:ind w:firstLine="0" w:firstLineChars="0"/>
        <w:jc w:val="center"/>
        <w:rPr>
          <w:lang w:val="en-US"/>
        </w:rPr>
      </w:pPr>
      <w:r>
        <w:drawing>
          <wp:inline distT="0" distB="0" distL="0" distR="0">
            <wp:extent cx="5667375" cy="28098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a:stretch>
                      <a:fillRect/>
                    </a:stretch>
                  </pic:blipFill>
                  <pic:spPr>
                    <a:xfrm>
                      <a:off x="0" y="0"/>
                      <a:ext cx="5667375" cy="2809875"/>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5"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6" w:name="_Toc16765"/>
      <w:bookmarkStart w:id="37" w:name="_Toc509844741"/>
      <w:r>
        <w:rPr>
          <w:rFonts w:hint="eastAsia"/>
        </w:rPr>
        <w:t>网格划分</w:t>
      </w:r>
      <w:bookmarkEnd w:id="36"/>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8" w:name="OLE_LINK276"/>
      <w:bookmarkStart w:id="39" w:name="OLE_LINK277"/>
      <w:r>
        <w:rPr>
          <w:rFonts w:hint="eastAsia"/>
        </w:rPr>
        <w:t>1）普通网格：指除靠近地面和建筑以外的网格，通常不需要特别加密处理</w:t>
      </w:r>
    </w:p>
    <w:p>
      <w:pPr>
        <w:pStyle w:val="12"/>
        <w:numPr>
          <w:ilvl w:val="0"/>
          <w:numId w:val="4"/>
        </w:numPr>
        <w:spacing w:before="156"/>
      </w:pPr>
      <w:bookmarkStart w:id="40" w:name="OLE_LINK15"/>
      <w:r>
        <w:rPr>
          <w:rFonts w:hint="eastAsia"/>
        </w:rPr>
        <w:t>分弧精度：对于有圆弧特征的建筑局部，把圆弧分解为线段时，弦到弧的最大距离；</w:t>
      </w:r>
    </w:p>
    <w:bookmarkEnd w:id="40"/>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1178553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28194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a:stretch>
                      <a:fillRect/>
                    </a:stretch>
                  </pic:blipFill>
                  <pic:spPr>
                    <a:xfrm>
                      <a:off x="0" y="0"/>
                      <a:ext cx="5667375" cy="28194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41" w:name="网格划分信息"/>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42" w:name="网格图"/>
      <w:bookmarkEnd w:id="42"/>
    </w:p>
    <w:p>
      <w:pPr>
        <w:pStyle w:val="4"/>
        <w:numPr>
          <w:ilvl w:val="1"/>
          <w:numId w:val="3"/>
        </w:numPr>
      </w:pPr>
      <w:bookmarkStart w:id="43" w:name="_Toc509844742"/>
      <w:bookmarkStart w:id="44" w:name="_Toc20726"/>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27775"/>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0.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9138"/>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27040"/>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2108767"/>
      <w:bookmarkStart w:id="52" w:name="_Toc451698939"/>
      <w:bookmarkStart w:id="53" w:name="_Toc31344"/>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28836"/>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25076"/>
      <w:r>
        <w:rPr>
          <w:rFonts w:hint="eastAsia"/>
        </w:rPr>
        <w:t>结果</w:t>
      </w:r>
      <w:r>
        <w:t>分析</w:t>
      </w:r>
      <w:bookmarkEnd w:id="59"/>
      <w:bookmarkEnd w:id="60"/>
    </w:p>
    <w:p>
      <w:pPr>
        <w:pStyle w:val="4"/>
        <w:rPr>
          <w:szCs w:val="21"/>
        </w:rPr>
      </w:pPr>
      <w:bookmarkStart w:id="61" w:name="_Toc10183"/>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337.5</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rPr>
          <w:lang w:val="en-US"/>
        </w:rPr>
      </w:pPr>
      <w:bookmarkStart w:id="63" w:name="冬季工况"/>
      <w:bookmarkEnd w:id="63"/>
      <w:r>
        <w:rPr>
          <w:rFonts w:hint="eastAsia"/>
          <w:lang w:val="en-US"/>
        </w:rPr>
        <w:t xml:space="preserve"> </w:t>
      </w:r>
    </w:p>
    <w:p>
      <w:pPr>
        <w:pStyle w:val="4"/>
      </w:pPr>
      <w:bookmarkStart w:id="64" w:name="_Toc32748"/>
      <w:r>
        <w:rPr>
          <w:rFonts w:hint="eastAsia"/>
        </w:rPr>
        <w:t>夏季工况</w:t>
      </w:r>
      <w:bookmarkEnd w:id="64"/>
    </w:p>
    <w:p>
      <w:pPr>
        <w:pStyle w:val="3"/>
        <w:ind w:firstLine="420"/>
      </w:pPr>
      <w:r>
        <w:rPr>
          <w:rFonts w:hint="eastAsia"/>
          <w:lang w:val="en-US"/>
        </w:rPr>
        <w:t>本项目夏季工况的入口边界风速为2.80m/s，风向为</w:t>
      </w:r>
      <w:r>
        <w:t>ESE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65" w:name="_Toc24658"/>
      <w:r>
        <w:rPr>
          <w:rFonts w:hint="eastAsia"/>
        </w:rPr>
        <w:t>无风区计算分析</w:t>
      </w:r>
      <w:bookmarkEnd w:id="65"/>
    </w:p>
    <w:p>
      <w:pPr>
        <w:pStyle w:val="6"/>
      </w:pPr>
      <w:r>
        <w:rPr>
          <w:rFonts w:hint="eastAsia"/>
        </w:rPr>
        <w:t>人活动区域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p>
    <w:p>
      <w:pPr>
        <w:pStyle w:val="3"/>
        <w:spacing w:after="156" w:afterLines="50"/>
        <w:ind w:firstLine="0" w:firstLineChars="0"/>
        <w:jc w:val="center"/>
      </w:pPr>
      <w:r>
        <w:drawing>
          <wp:inline distT="0" distB="0" distL="0" distR="0">
            <wp:extent cx="5667375" cy="26193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a:stretch>
                      <a:fillRect/>
                    </a:stretch>
                  </pic:blipFill>
                  <pic:spPr>
                    <a:xfrm>
                      <a:off x="0" y="0"/>
                      <a:ext cx="5667375" cy="26193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6"/>
      </w:pPr>
      <w:r>
        <w:rPr>
          <w:rFonts w:hint="eastAsia"/>
        </w:rPr>
        <w:t>计算域内无风区分析</w:t>
      </w:r>
    </w:p>
    <w:bookmarkEnd w:id="10"/>
    <w:p>
      <w:pPr>
        <w:pStyle w:val="3"/>
        <w:tabs>
          <w:tab w:val="left" w:pos="426"/>
        </w:tabs>
        <w:ind w:firstLine="420"/>
      </w:pPr>
      <w:r>
        <w:rPr>
          <w:rFonts w:hint="eastAsia"/>
        </w:rPr>
        <w:t>下图为整个计算域内风速分布云图，参考图中速度分布可以对项目中建筑布局进行优化。分析下图，</w:t>
      </w:r>
      <w:r>
        <w:t>人活动区内未标示出风速小于0.2m/s的超限区域，因此人活动区风速满足绿标要求，项目可采用现有建筑布局。</w:t>
      </w:r>
      <w:bookmarkEnd w:id="11"/>
    </w:p>
    <w:bookmarkEnd w:id="13"/>
    <w:p>
      <w:pPr>
        <w:pStyle w:val="3"/>
        <w:spacing w:after="156" w:afterLines="50"/>
        <w:ind w:firstLine="0" w:firstLineChars="0"/>
        <w:jc w:val="center"/>
      </w:pPr>
      <w:r>
        <w:drawing>
          <wp:inline distT="0" distB="0" distL="0" distR="0">
            <wp:extent cx="5667375" cy="26574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9"/>
                    <a:stretch>
                      <a:fillRect/>
                    </a:stretch>
                  </pic:blipFill>
                  <pic:spPr>
                    <a:xfrm>
                      <a:off x="0" y="0"/>
                      <a:ext cx="5667375" cy="26574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66" w:name="_Toc5005"/>
      <w:r>
        <w:rPr>
          <w:rFonts w:hint="eastAsia"/>
        </w:rPr>
        <w:t>旋涡区分析</w:t>
      </w:r>
      <w:bookmarkEnd w:id="15"/>
      <w:bookmarkEnd w:id="66"/>
    </w:p>
    <w:p>
      <w:pPr>
        <w:pStyle w:val="6"/>
      </w:pPr>
      <w:r>
        <w:rPr>
          <w:rFonts w:hint="eastAsia"/>
        </w:rPr>
        <w:t>人活动区域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2971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0"/>
                    <a:stretch>
                      <a:fillRect/>
                    </a:stretch>
                  </pic:blipFill>
                  <pic:spPr>
                    <a:xfrm>
                      <a:off x="0" y="0"/>
                      <a:ext cx="5667375" cy="29718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p>
      <w:pPr>
        <w:pStyle w:val="6"/>
      </w:pPr>
      <w:r>
        <w:rPr>
          <w:rFonts w:hint="eastAsia"/>
        </w:rPr>
        <w:t>计算域内旋涡区分析</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28670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1"/>
                    <a:stretch>
                      <a:fillRect/>
                    </a:stretch>
                  </pic:blipFill>
                  <pic:spPr>
                    <a:xfrm>
                      <a:off x="0" y="0"/>
                      <a:ext cx="5667375" cy="28670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67" w:name="_Toc4041"/>
      <w:r>
        <w:rPr>
          <w:rFonts w:hint="eastAsia"/>
        </w:rPr>
        <w:t>人活动</w:t>
      </w:r>
      <w:bookmarkEnd w:id="21"/>
      <w:r>
        <w:rPr>
          <w:rFonts w:hint="eastAsia"/>
        </w:rPr>
        <w:t>区域旋涡区/无风区达标判定</w:t>
      </w:r>
      <w:bookmarkEnd w:id="22"/>
      <w:bookmarkEnd w:id="6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2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26"/>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68" w:name="_Toc24504"/>
      <w:r>
        <w:rPr>
          <w:rFonts w:hint="eastAsia"/>
        </w:rPr>
        <w:t>外窗内外表面风压</w:t>
      </w:r>
      <w:bookmarkEnd w:id="27"/>
      <w:r>
        <w:rPr>
          <w:rFonts w:hint="eastAsia"/>
        </w:rPr>
        <w:t>差达标分析</w:t>
      </w:r>
      <w:bookmarkEnd w:id="30"/>
      <w:bookmarkEnd w:id="68"/>
    </w:p>
    <w:p>
      <w:pPr>
        <w:pStyle w:val="3"/>
        <w:ind w:firstLine="420"/>
      </w:pPr>
      <w:r>
        <w:rPr>
          <w:rFonts w:hint="eastAsia"/>
          <w:lang w:val="en-US"/>
        </w:rPr>
        <w:t>分析《绿色建筑评价标准》，夏季</w:t>
      </w:r>
      <w:bookmarkEnd w:id="3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27908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2"/>
                    <a:stretch>
                      <a:fillRect/>
                    </a:stretch>
                  </pic:blipFill>
                  <pic:spPr>
                    <a:xfrm>
                      <a:off x="0" y="0"/>
                      <a:ext cx="5667375" cy="2790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5"/>
    </w:p>
    <w:bookmarkEnd w:id="37"/>
    <w:p>
      <w:pPr>
        <w:pStyle w:val="13"/>
        <w:jc w:val="center"/>
      </w:pPr>
      <w:r>
        <w:drawing>
          <wp:inline distT="0" distB="0" distL="0" distR="0">
            <wp:extent cx="5667375" cy="2819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3"/>
                    <a:stretch>
                      <a:fillRect/>
                    </a:stretch>
                  </pic:blipFill>
                  <pic:spPr>
                    <a:xfrm>
                      <a:off x="0" y="0"/>
                      <a:ext cx="5667375" cy="28194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8"/>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201(201)</w:t>
            </w:r>
          </w:p>
        </w:tc>
        <w:tc>
          <w:tcPr>
            <w:tcW w:w="1134" w:type="dxa"/>
            <w:shd w:val="clear" w:color="auto" w:fill="auto"/>
            <w:vAlign w:val="center"/>
          </w:tcPr>
          <w:p>
            <w:pPr>
              <w:jc w:val="center"/>
              <w:rPr>
                <w:lang w:val="en-US"/>
              </w:rPr>
            </w:pPr>
            <w:r>
              <w:rPr>
                <w:lang w:val="en-US"/>
              </w:rPr>
              <w:t>508</w:t>
            </w:r>
          </w:p>
        </w:tc>
        <w:tc>
          <w:tcPr>
            <w:tcW w:w="1984" w:type="dxa"/>
            <w:shd w:val="clear" w:color="auto" w:fill="auto"/>
            <w:vAlign w:val="center"/>
          </w:tcPr>
          <w:p>
            <w:pPr>
              <w:jc w:val="center"/>
              <w:rPr>
                <w:lang w:val="en-US"/>
              </w:rPr>
            </w:pPr>
            <w:r>
              <w:rPr>
                <w:lang w:val="en-US"/>
              </w:rPr>
              <w:t>435</w:t>
            </w:r>
          </w:p>
        </w:tc>
        <w:tc>
          <w:tcPr>
            <w:tcW w:w="1116" w:type="dxa"/>
            <w:shd w:val="clear" w:color="auto" w:fill="auto"/>
            <w:vAlign w:val="center"/>
          </w:tcPr>
          <w:p>
            <w:pPr>
              <w:jc w:val="center"/>
              <w:rPr>
                <w:lang w:val="en-US"/>
              </w:rPr>
            </w:pPr>
            <w:r>
              <w:rPr>
                <w:lang w:val="en-US"/>
              </w:rPr>
              <w:t>85.63</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202(202)</w:t>
            </w:r>
          </w:p>
        </w:tc>
        <w:tc>
          <w:tcPr>
            <w:tcW w:w="1134" w:type="dxa"/>
            <w:shd w:val="clear" w:color="auto" w:fill="auto"/>
            <w:vAlign w:val="center"/>
          </w:tcPr>
          <w:p>
            <w:pPr>
              <w:jc w:val="center"/>
              <w:rPr>
                <w:lang w:val="en-US"/>
              </w:rPr>
            </w:pPr>
            <w:r>
              <w:rPr>
                <w:lang w:val="en-US"/>
              </w:rPr>
              <w:t>446</w:t>
            </w:r>
          </w:p>
        </w:tc>
        <w:tc>
          <w:tcPr>
            <w:tcW w:w="1984" w:type="dxa"/>
            <w:shd w:val="clear" w:color="auto" w:fill="auto"/>
            <w:vAlign w:val="center"/>
          </w:tcPr>
          <w:p>
            <w:pPr>
              <w:jc w:val="center"/>
              <w:rPr>
                <w:lang w:val="en-US"/>
              </w:rPr>
            </w:pPr>
            <w:r>
              <w:rPr>
                <w:lang w:val="en-US"/>
              </w:rPr>
              <w:t>354</w:t>
            </w:r>
          </w:p>
        </w:tc>
        <w:tc>
          <w:tcPr>
            <w:tcW w:w="1116" w:type="dxa"/>
            <w:shd w:val="clear" w:color="auto" w:fill="auto"/>
            <w:vAlign w:val="center"/>
          </w:tcPr>
          <w:p>
            <w:pPr>
              <w:jc w:val="center"/>
              <w:rPr>
                <w:lang w:val="en-US"/>
              </w:rPr>
            </w:pPr>
            <w:r>
              <w:rPr>
                <w:lang w:val="en-US"/>
              </w:rPr>
              <w:t>79.37</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203-R(203-R)</w:t>
            </w:r>
          </w:p>
        </w:tc>
        <w:tc>
          <w:tcPr>
            <w:tcW w:w="1134" w:type="dxa"/>
            <w:shd w:val="clear" w:color="auto" w:fill="auto"/>
            <w:vAlign w:val="center"/>
          </w:tcPr>
          <w:p>
            <w:pPr>
              <w:jc w:val="center"/>
              <w:rPr>
                <w:lang w:val="en-US"/>
              </w:rPr>
            </w:pPr>
            <w:r>
              <w:rPr>
                <w:lang w:val="en-US"/>
              </w:rPr>
              <w:t>9</w:t>
            </w:r>
          </w:p>
        </w:tc>
        <w:tc>
          <w:tcPr>
            <w:tcW w:w="1984" w:type="dxa"/>
            <w:shd w:val="clear" w:color="auto" w:fill="auto"/>
            <w:vAlign w:val="center"/>
          </w:tcPr>
          <w:p>
            <w:pPr>
              <w:jc w:val="center"/>
              <w:rPr>
                <w:lang w:val="en-US"/>
              </w:rPr>
            </w:pPr>
            <w:r>
              <w:rPr>
                <w:lang w:val="en-US"/>
              </w:rPr>
              <w:t>8</w:t>
            </w:r>
          </w:p>
        </w:tc>
        <w:tc>
          <w:tcPr>
            <w:tcW w:w="1116" w:type="dxa"/>
            <w:shd w:val="clear" w:color="auto" w:fill="auto"/>
            <w:vAlign w:val="center"/>
          </w:tcPr>
          <w:p>
            <w:pPr>
              <w:jc w:val="center"/>
              <w:rPr>
                <w:lang w:val="en-US"/>
              </w:rPr>
            </w:pPr>
            <w:r>
              <w:rPr>
                <w:lang w:val="en-US"/>
              </w:rPr>
              <w:t>88.89</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203公建(203公建)</w:t>
            </w:r>
          </w:p>
        </w:tc>
        <w:tc>
          <w:tcPr>
            <w:tcW w:w="1134" w:type="dxa"/>
            <w:shd w:val="clear" w:color="auto" w:fill="auto"/>
            <w:vAlign w:val="center"/>
          </w:tcPr>
          <w:p>
            <w:pPr>
              <w:jc w:val="center"/>
              <w:rPr>
                <w:lang w:val="en-US"/>
              </w:rPr>
            </w:pPr>
            <w:r>
              <w:rPr>
                <w:lang w:val="en-US"/>
              </w:rPr>
              <w:t>76</w:t>
            </w:r>
          </w:p>
        </w:tc>
        <w:tc>
          <w:tcPr>
            <w:tcW w:w="1984" w:type="dxa"/>
            <w:shd w:val="clear" w:color="auto" w:fill="auto"/>
            <w:vAlign w:val="center"/>
          </w:tcPr>
          <w:p>
            <w:pPr>
              <w:jc w:val="center"/>
              <w:rPr>
                <w:lang w:val="en-US"/>
              </w:rPr>
            </w:pPr>
            <w:r>
              <w:rPr>
                <w:lang w:val="en-US"/>
              </w:rPr>
              <w:t>60</w:t>
            </w:r>
          </w:p>
        </w:tc>
        <w:tc>
          <w:tcPr>
            <w:tcW w:w="1116" w:type="dxa"/>
            <w:shd w:val="clear" w:color="auto" w:fill="auto"/>
            <w:vAlign w:val="center"/>
          </w:tcPr>
          <w:p>
            <w:pPr>
              <w:jc w:val="center"/>
              <w:rPr>
                <w:lang w:val="en-US"/>
              </w:rPr>
            </w:pPr>
            <w:r>
              <w:rPr>
                <w:lang w:val="en-US"/>
              </w:rPr>
              <w:t>78.95</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203住宅(203住宅)</w:t>
            </w:r>
          </w:p>
        </w:tc>
        <w:tc>
          <w:tcPr>
            <w:tcW w:w="1134" w:type="dxa"/>
            <w:shd w:val="clear" w:color="auto" w:fill="auto"/>
            <w:vAlign w:val="center"/>
          </w:tcPr>
          <w:p>
            <w:pPr>
              <w:jc w:val="center"/>
              <w:rPr>
                <w:lang w:val="en-US"/>
              </w:rPr>
            </w:pPr>
            <w:r>
              <w:rPr>
                <w:lang w:val="en-US"/>
              </w:rPr>
              <w:t>734</w:t>
            </w:r>
          </w:p>
        </w:tc>
        <w:tc>
          <w:tcPr>
            <w:tcW w:w="1984" w:type="dxa"/>
            <w:shd w:val="clear" w:color="auto" w:fill="auto"/>
            <w:vAlign w:val="center"/>
          </w:tcPr>
          <w:p>
            <w:pPr>
              <w:jc w:val="center"/>
              <w:rPr>
                <w:lang w:val="en-US"/>
              </w:rPr>
            </w:pPr>
            <w:r>
              <w:rPr>
                <w:lang w:val="en-US"/>
              </w:rPr>
              <w:t>597</w:t>
            </w:r>
          </w:p>
        </w:tc>
        <w:tc>
          <w:tcPr>
            <w:tcW w:w="1116" w:type="dxa"/>
            <w:shd w:val="clear" w:color="auto" w:fill="auto"/>
            <w:vAlign w:val="center"/>
          </w:tcPr>
          <w:p>
            <w:pPr>
              <w:jc w:val="center"/>
              <w:rPr>
                <w:lang w:val="en-US"/>
              </w:rPr>
            </w:pPr>
            <w:r>
              <w:rPr>
                <w:lang w:val="en-US"/>
              </w:rPr>
              <w:t>81.34</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204(204)</w:t>
            </w:r>
          </w:p>
        </w:tc>
        <w:tc>
          <w:tcPr>
            <w:tcW w:w="1134" w:type="dxa"/>
            <w:shd w:val="clear" w:color="auto" w:fill="auto"/>
            <w:vAlign w:val="center"/>
          </w:tcPr>
          <w:p>
            <w:pPr>
              <w:jc w:val="center"/>
              <w:rPr>
                <w:lang w:val="en-US"/>
              </w:rPr>
            </w:pPr>
            <w:r>
              <w:rPr>
                <w:lang w:val="en-US"/>
              </w:rPr>
              <w:t>746</w:t>
            </w:r>
          </w:p>
        </w:tc>
        <w:tc>
          <w:tcPr>
            <w:tcW w:w="1984" w:type="dxa"/>
            <w:shd w:val="clear" w:color="auto" w:fill="auto"/>
            <w:vAlign w:val="center"/>
          </w:tcPr>
          <w:p>
            <w:pPr>
              <w:jc w:val="center"/>
              <w:rPr>
                <w:lang w:val="en-US"/>
              </w:rPr>
            </w:pPr>
            <w:r>
              <w:rPr>
                <w:lang w:val="en-US"/>
              </w:rPr>
              <w:t>603</w:t>
            </w:r>
          </w:p>
        </w:tc>
        <w:tc>
          <w:tcPr>
            <w:tcW w:w="1116" w:type="dxa"/>
            <w:shd w:val="clear" w:color="auto" w:fill="auto"/>
            <w:vAlign w:val="center"/>
          </w:tcPr>
          <w:p>
            <w:pPr>
              <w:jc w:val="center"/>
              <w:rPr>
                <w:lang w:val="en-US"/>
              </w:rPr>
            </w:pPr>
            <w:r>
              <w:rPr>
                <w:lang w:val="en-US"/>
              </w:rPr>
              <w:t>80.83</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205(205)</w:t>
            </w:r>
          </w:p>
        </w:tc>
        <w:tc>
          <w:tcPr>
            <w:tcW w:w="1134" w:type="dxa"/>
            <w:shd w:val="clear" w:color="auto" w:fill="auto"/>
            <w:vAlign w:val="center"/>
          </w:tcPr>
          <w:p>
            <w:pPr>
              <w:jc w:val="center"/>
              <w:rPr>
                <w:lang w:val="en-US"/>
              </w:rPr>
            </w:pPr>
            <w:r>
              <w:rPr>
                <w:lang w:val="en-US"/>
              </w:rPr>
              <w:t>255</w:t>
            </w:r>
          </w:p>
        </w:tc>
        <w:tc>
          <w:tcPr>
            <w:tcW w:w="1984" w:type="dxa"/>
            <w:shd w:val="clear" w:color="auto" w:fill="auto"/>
            <w:vAlign w:val="center"/>
          </w:tcPr>
          <w:p>
            <w:pPr>
              <w:jc w:val="center"/>
              <w:rPr>
                <w:lang w:val="en-US"/>
              </w:rPr>
            </w:pPr>
            <w:r>
              <w:rPr>
                <w:lang w:val="en-US"/>
              </w:rPr>
              <w:t>254</w:t>
            </w:r>
          </w:p>
        </w:tc>
        <w:tc>
          <w:tcPr>
            <w:tcW w:w="1116" w:type="dxa"/>
            <w:shd w:val="clear" w:color="auto" w:fill="auto"/>
            <w:vAlign w:val="center"/>
          </w:tcPr>
          <w:p>
            <w:pPr>
              <w:jc w:val="center"/>
              <w:rPr>
                <w:lang w:val="en-US"/>
              </w:rPr>
            </w:pPr>
            <w:r>
              <w:rPr>
                <w:lang w:val="en-US"/>
              </w:rPr>
              <w:t>99.61</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206(206)</w:t>
            </w:r>
          </w:p>
        </w:tc>
        <w:tc>
          <w:tcPr>
            <w:tcW w:w="1134" w:type="dxa"/>
            <w:shd w:val="clear" w:color="auto" w:fill="auto"/>
            <w:vAlign w:val="center"/>
          </w:tcPr>
          <w:p>
            <w:pPr>
              <w:jc w:val="center"/>
              <w:rPr>
                <w:lang w:val="en-US"/>
              </w:rPr>
            </w:pPr>
            <w:r>
              <w:rPr>
                <w:lang w:val="en-US"/>
              </w:rPr>
              <w:t>829</w:t>
            </w:r>
          </w:p>
        </w:tc>
        <w:tc>
          <w:tcPr>
            <w:tcW w:w="1984" w:type="dxa"/>
            <w:shd w:val="clear" w:color="auto" w:fill="auto"/>
            <w:vAlign w:val="center"/>
          </w:tcPr>
          <w:p>
            <w:pPr>
              <w:jc w:val="center"/>
              <w:rPr>
                <w:lang w:val="en-US"/>
              </w:rPr>
            </w:pPr>
            <w:r>
              <w:rPr>
                <w:lang w:val="en-US"/>
              </w:rPr>
              <w:t>688</w:t>
            </w:r>
          </w:p>
        </w:tc>
        <w:tc>
          <w:tcPr>
            <w:tcW w:w="1116" w:type="dxa"/>
            <w:shd w:val="clear" w:color="auto" w:fill="auto"/>
            <w:vAlign w:val="center"/>
          </w:tcPr>
          <w:p>
            <w:pPr>
              <w:jc w:val="center"/>
              <w:rPr>
                <w:lang w:val="en-US"/>
              </w:rPr>
            </w:pPr>
            <w:r>
              <w:rPr>
                <w:lang w:val="en-US"/>
              </w:rPr>
              <w:t>82.99</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207(207)</w:t>
            </w:r>
          </w:p>
        </w:tc>
        <w:tc>
          <w:tcPr>
            <w:tcW w:w="1134" w:type="dxa"/>
            <w:shd w:val="clear" w:color="auto" w:fill="auto"/>
            <w:vAlign w:val="center"/>
          </w:tcPr>
          <w:p>
            <w:pPr>
              <w:jc w:val="center"/>
              <w:rPr>
                <w:lang w:val="en-US"/>
              </w:rPr>
            </w:pPr>
            <w:r>
              <w:rPr>
                <w:lang w:val="en-US"/>
              </w:rPr>
              <w:t>673</w:t>
            </w:r>
          </w:p>
        </w:tc>
        <w:tc>
          <w:tcPr>
            <w:tcW w:w="1984" w:type="dxa"/>
            <w:shd w:val="clear" w:color="auto" w:fill="auto"/>
            <w:vAlign w:val="center"/>
          </w:tcPr>
          <w:p>
            <w:pPr>
              <w:jc w:val="center"/>
              <w:rPr>
                <w:lang w:val="en-US"/>
              </w:rPr>
            </w:pPr>
            <w:r>
              <w:rPr>
                <w:lang w:val="en-US"/>
              </w:rPr>
              <w:t>566</w:t>
            </w:r>
          </w:p>
        </w:tc>
        <w:tc>
          <w:tcPr>
            <w:tcW w:w="1116" w:type="dxa"/>
            <w:shd w:val="clear" w:color="auto" w:fill="auto"/>
            <w:vAlign w:val="center"/>
          </w:tcPr>
          <w:p>
            <w:pPr>
              <w:jc w:val="center"/>
              <w:rPr>
                <w:lang w:val="en-US"/>
              </w:rPr>
            </w:pPr>
            <w:r>
              <w:rPr>
                <w:lang w:val="en-US"/>
              </w:rPr>
              <w:t>84.10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208(208 209)</w:t>
            </w:r>
          </w:p>
        </w:tc>
        <w:tc>
          <w:tcPr>
            <w:tcW w:w="1134" w:type="dxa"/>
            <w:shd w:val="clear" w:color="auto" w:fill="auto"/>
            <w:vAlign w:val="center"/>
          </w:tcPr>
          <w:p>
            <w:pPr>
              <w:jc w:val="center"/>
              <w:rPr>
                <w:lang w:val="en-US"/>
              </w:rPr>
            </w:pPr>
            <w:r>
              <w:rPr>
                <w:lang w:val="en-US"/>
              </w:rPr>
              <w:t>272</w:t>
            </w:r>
          </w:p>
        </w:tc>
        <w:tc>
          <w:tcPr>
            <w:tcW w:w="1984" w:type="dxa"/>
            <w:shd w:val="clear" w:color="auto" w:fill="auto"/>
            <w:vAlign w:val="center"/>
          </w:tcPr>
          <w:p>
            <w:pPr>
              <w:jc w:val="center"/>
              <w:rPr>
                <w:lang w:val="en-US"/>
              </w:rPr>
            </w:pPr>
            <w:r>
              <w:rPr>
                <w:lang w:val="en-US"/>
              </w:rPr>
              <w:t>267</w:t>
            </w:r>
          </w:p>
        </w:tc>
        <w:tc>
          <w:tcPr>
            <w:tcW w:w="1116" w:type="dxa"/>
            <w:shd w:val="clear" w:color="auto" w:fill="auto"/>
            <w:vAlign w:val="center"/>
          </w:tcPr>
          <w:p>
            <w:pPr>
              <w:jc w:val="center"/>
              <w:rPr>
                <w:lang w:val="en-US"/>
              </w:rPr>
            </w:pPr>
            <w:r>
              <w:rPr>
                <w:lang w:val="en-US"/>
              </w:rPr>
              <w:t>98.16</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209(208 209)</w:t>
            </w:r>
          </w:p>
        </w:tc>
        <w:tc>
          <w:tcPr>
            <w:tcW w:w="1134" w:type="dxa"/>
            <w:shd w:val="clear" w:color="auto" w:fill="auto"/>
            <w:vAlign w:val="center"/>
          </w:tcPr>
          <w:p>
            <w:pPr>
              <w:jc w:val="center"/>
              <w:rPr>
                <w:lang w:val="en-US"/>
              </w:rPr>
            </w:pPr>
            <w:r>
              <w:rPr>
                <w:lang w:val="en-US"/>
              </w:rPr>
              <w:t>272</w:t>
            </w:r>
          </w:p>
        </w:tc>
        <w:tc>
          <w:tcPr>
            <w:tcW w:w="1984" w:type="dxa"/>
            <w:shd w:val="clear" w:color="auto" w:fill="auto"/>
            <w:vAlign w:val="center"/>
          </w:tcPr>
          <w:p>
            <w:pPr>
              <w:jc w:val="center"/>
              <w:rPr>
                <w:lang w:val="en-US"/>
              </w:rPr>
            </w:pPr>
            <w:r>
              <w:rPr>
                <w:lang w:val="en-US"/>
              </w:rPr>
              <w:t>265</w:t>
            </w:r>
          </w:p>
        </w:tc>
        <w:tc>
          <w:tcPr>
            <w:tcW w:w="1116" w:type="dxa"/>
            <w:shd w:val="clear" w:color="auto" w:fill="auto"/>
            <w:vAlign w:val="center"/>
          </w:tcPr>
          <w:p>
            <w:pPr>
              <w:jc w:val="center"/>
              <w:rPr>
                <w:lang w:val="en-US"/>
              </w:rPr>
            </w:pPr>
            <w:r>
              <w:rPr>
                <w:lang w:val="en-US"/>
              </w:rPr>
              <w:t>97.43</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210(210)</w:t>
            </w:r>
          </w:p>
        </w:tc>
        <w:tc>
          <w:tcPr>
            <w:tcW w:w="1134" w:type="dxa"/>
            <w:shd w:val="clear" w:color="auto" w:fill="auto"/>
            <w:vAlign w:val="center"/>
          </w:tcPr>
          <w:p>
            <w:pPr>
              <w:jc w:val="center"/>
              <w:rPr>
                <w:lang w:val="en-US"/>
              </w:rPr>
            </w:pPr>
            <w:r>
              <w:rPr>
                <w:lang w:val="en-US"/>
              </w:rPr>
              <w:t>752</w:t>
            </w:r>
          </w:p>
        </w:tc>
        <w:tc>
          <w:tcPr>
            <w:tcW w:w="1984" w:type="dxa"/>
            <w:shd w:val="clear" w:color="auto" w:fill="auto"/>
            <w:vAlign w:val="center"/>
          </w:tcPr>
          <w:p>
            <w:pPr>
              <w:jc w:val="center"/>
              <w:rPr>
                <w:lang w:val="en-US"/>
              </w:rPr>
            </w:pPr>
            <w:r>
              <w:rPr>
                <w:lang w:val="en-US"/>
              </w:rPr>
              <w:t>596</w:t>
            </w:r>
          </w:p>
        </w:tc>
        <w:tc>
          <w:tcPr>
            <w:tcW w:w="1116" w:type="dxa"/>
            <w:shd w:val="clear" w:color="auto" w:fill="auto"/>
            <w:vAlign w:val="center"/>
          </w:tcPr>
          <w:p>
            <w:pPr>
              <w:jc w:val="center"/>
              <w:rPr>
                <w:lang w:val="en-US"/>
              </w:rPr>
            </w:pPr>
            <w:r>
              <w:rPr>
                <w:lang w:val="en-US"/>
              </w:rPr>
              <w:t>79.26</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211(211 212)</w:t>
            </w:r>
          </w:p>
        </w:tc>
        <w:tc>
          <w:tcPr>
            <w:tcW w:w="1134" w:type="dxa"/>
            <w:shd w:val="clear" w:color="auto" w:fill="auto"/>
            <w:vAlign w:val="center"/>
          </w:tcPr>
          <w:p>
            <w:pPr>
              <w:jc w:val="center"/>
              <w:rPr>
                <w:lang w:val="en-US"/>
              </w:rPr>
            </w:pPr>
            <w:r>
              <w:rPr>
                <w:lang w:val="en-US"/>
              </w:rPr>
              <w:t>825</w:t>
            </w:r>
          </w:p>
        </w:tc>
        <w:tc>
          <w:tcPr>
            <w:tcW w:w="1984" w:type="dxa"/>
            <w:shd w:val="clear" w:color="auto" w:fill="auto"/>
            <w:vAlign w:val="center"/>
          </w:tcPr>
          <w:p>
            <w:pPr>
              <w:jc w:val="center"/>
              <w:rPr>
                <w:lang w:val="en-US"/>
              </w:rPr>
            </w:pPr>
            <w:r>
              <w:rPr>
                <w:lang w:val="en-US"/>
              </w:rPr>
              <w:t>576</w:t>
            </w:r>
          </w:p>
        </w:tc>
        <w:tc>
          <w:tcPr>
            <w:tcW w:w="1116" w:type="dxa"/>
            <w:shd w:val="clear" w:color="auto" w:fill="auto"/>
            <w:vAlign w:val="center"/>
          </w:tcPr>
          <w:p>
            <w:pPr>
              <w:jc w:val="center"/>
              <w:rPr>
                <w:lang w:val="en-US"/>
              </w:rPr>
            </w:pPr>
            <w:r>
              <w:rPr>
                <w:lang w:val="en-US"/>
              </w:rPr>
              <w:t>69.82</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212(211 212)</w:t>
            </w:r>
          </w:p>
        </w:tc>
        <w:tc>
          <w:tcPr>
            <w:tcW w:w="1134" w:type="dxa"/>
            <w:shd w:val="clear" w:color="auto" w:fill="auto"/>
            <w:vAlign w:val="center"/>
          </w:tcPr>
          <w:p>
            <w:pPr>
              <w:jc w:val="center"/>
              <w:rPr>
                <w:lang w:val="en-US"/>
              </w:rPr>
            </w:pPr>
            <w:r>
              <w:rPr>
                <w:lang w:val="en-US"/>
              </w:rPr>
              <w:t>825</w:t>
            </w:r>
          </w:p>
        </w:tc>
        <w:tc>
          <w:tcPr>
            <w:tcW w:w="1984" w:type="dxa"/>
            <w:shd w:val="clear" w:color="auto" w:fill="auto"/>
            <w:vAlign w:val="center"/>
          </w:tcPr>
          <w:p>
            <w:pPr>
              <w:jc w:val="center"/>
              <w:rPr>
                <w:lang w:val="en-US"/>
              </w:rPr>
            </w:pPr>
            <w:r>
              <w:rPr>
                <w:lang w:val="en-US"/>
              </w:rPr>
              <w:t>610</w:t>
            </w:r>
          </w:p>
        </w:tc>
        <w:tc>
          <w:tcPr>
            <w:tcW w:w="1116" w:type="dxa"/>
            <w:shd w:val="clear" w:color="auto" w:fill="auto"/>
            <w:vAlign w:val="center"/>
          </w:tcPr>
          <w:p>
            <w:pPr>
              <w:jc w:val="center"/>
              <w:rPr>
                <w:lang w:val="en-US"/>
              </w:rPr>
            </w:pPr>
            <w:r>
              <w:rPr>
                <w:lang w:val="en-US"/>
              </w:rPr>
              <w:t>73.94</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9"/>
    <w:p>
      <w:pPr>
        <w:rPr>
          <w:lang w:val="en-US"/>
        </w:rPr>
      </w:pPr>
    </w:p>
    <w:p/>
    <w:p>
      <w:pPr>
        <w:rPr>
          <w:lang w:val="en-US"/>
        </w:rPr>
      </w:pPr>
      <w:r>
        <w:rPr>
          <w:rFonts w:hint="eastAsia"/>
          <w:lang w:val="en-US"/>
        </w:rPr>
        <w:t>结论：本项目中所有建筑均满足“50%以上可开启外窗室内外表面的风压差大于0.5Pa”的要求。</w:t>
      </w:r>
      <w:bookmarkEnd w:id="41"/>
      <w:r>
        <w:rPr>
          <w:rFonts w:hint="eastAsia"/>
          <w:lang w:val="en-US"/>
        </w:rPr>
        <w:t xml:space="preserve"> </w:t>
      </w:r>
    </w:p>
    <w:p>
      <w:pPr>
        <w:rPr>
          <w:lang w:val="en-US"/>
        </w:rPr>
      </w:pPr>
      <w:bookmarkStart w:id="69" w:name="其他工况"/>
      <w:bookmarkEnd w:id="69"/>
      <w:r>
        <w:rPr>
          <w:rFonts w:hint="eastAsia"/>
          <w:lang w:val="en-US"/>
        </w:rPr>
        <w:t xml:space="preserve"> </w:t>
      </w:r>
    </w:p>
    <w:p>
      <w:pPr>
        <w:pStyle w:val="4"/>
      </w:pPr>
      <w:bookmarkStart w:id="70" w:name="_Toc509844764"/>
      <w:bookmarkStart w:id="71" w:name="_Toc20145"/>
      <w:r>
        <w:rPr>
          <w:rFonts w:hint="eastAsia"/>
        </w:rPr>
        <w:t>结论</w:t>
      </w:r>
      <w:bookmarkEnd w:id="70"/>
      <w:bookmarkEnd w:id="71"/>
    </w:p>
    <w:bookmarkEnd w:id="0"/>
    <w:bookmarkEnd w:id="1"/>
    <w:p>
      <w:pPr>
        <w:pStyle w:val="5"/>
      </w:pPr>
      <w:bookmarkStart w:id="74" w:name="_GoBack"/>
      <w:bookmarkEnd w:id="74"/>
      <w:bookmarkStart w:id="72" w:name="_Toc8038"/>
      <w:r>
        <w:rPr>
          <w:rFonts w:hint="eastAsia"/>
        </w:rPr>
        <w:t>过渡季、夏季工况达标判断</w:t>
      </w:r>
      <w:bookmarkEnd w:id="2"/>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，得2分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人行区没有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2</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，得1分。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bookmarkEnd w:id="7"/>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34"/>
          </w:p>
        </w:tc>
        <w:tc>
          <w:tcPr>
            <w:tcW w:w="1416" w:type="dxa"/>
            <w:shd w:val="clear" w:color="auto" w:fill="auto"/>
            <w:vAlign w:val="center"/>
          </w:tcPr>
          <w:p>
            <w:pPr>
              <w:jc w:val="center"/>
              <w:rPr>
                <w:lang w:val="en-US"/>
              </w:rPr>
            </w:pPr>
            <w:r>
              <w:rPr>
                <w:rFonts w:hint="eastAsia"/>
                <w:lang w:val="en-US"/>
              </w:rPr>
              <w:t>1</w:t>
            </w:r>
            <w:bookmarkEnd w:id="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3" w:name="总得分"/>
      <w:r>
        <w:rPr>
          <w:rFonts w:hint="eastAsia"/>
          <w:lang w:val="en-US"/>
        </w:rPr>
        <w:t>3</w:t>
      </w:r>
      <w:bookmarkEnd w:id="73"/>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ENT2018</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6D6A02"/>
    <w:rsid w:val="000003DF"/>
    <w:rsid w:val="00005045"/>
    <w:rsid w:val="0000578F"/>
    <w:rsid w:val="00015AD3"/>
    <w:rsid w:val="0002001E"/>
    <w:rsid w:val="000219DF"/>
    <w:rsid w:val="00037A4C"/>
    <w:rsid w:val="000678A8"/>
    <w:rsid w:val="00067FD6"/>
    <w:rsid w:val="00070047"/>
    <w:rsid w:val="00073958"/>
    <w:rsid w:val="00081A16"/>
    <w:rsid w:val="000A23A8"/>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1DB5"/>
    <w:rsid w:val="001A7C37"/>
    <w:rsid w:val="001B7C87"/>
    <w:rsid w:val="001C1C39"/>
    <w:rsid w:val="001C4F77"/>
    <w:rsid w:val="001D3014"/>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47B9"/>
    <w:rsid w:val="003857DF"/>
    <w:rsid w:val="003A50E3"/>
    <w:rsid w:val="003A6A7F"/>
    <w:rsid w:val="003B2E2C"/>
    <w:rsid w:val="003C51B9"/>
    <w:rsid w:val="003C5F3A"/>
    <w:rsid w:val="003D123E"/>
    <w:rsid w:val="003D3E8E"/>
    <w:rsid w:val="003E405A"/>
    <w:rsid w:val="00407998"/>
    <w:rsid w:val="00412598"/>
    <w:rsid w:val="00412ACB"/>
    <w:rsid w:val="00413DB8"/>
    <w:rsid w:val="004169B3"/>
    <w:rsid w:val="00437A5C"/>
    <w:rsid w:val="00453246"/>
    <w:rsid w:val="004556B5"/>
    <w:rsid w:val="0046589C"/>
    <w:rsid w:val="0047200C"/>
    <w:rsid w:val="004825F5"/>
    <w:rsid w:val="00483193"/>
    <w:rsid w:val="00494ADE"/>
    <w:rsid w:val="0049520E"/>
    <w:rsid w:val="004A0D3B"/>
    <w:rsid w:val="004C7D33"/>
    <w:rsid w:val="004D230F"/>
    <w:rsid w:val="004D449D"/>
    <w:rsid w:val="004E0319"/>
    <w:rsid w:val="004E2AEB"/>
    <w:rsid w:val="004F0639"/>
    <w:rsid w:val="0050569B"/>
    <w:rsid w:val="00511D13"/>
    <w:rsid w:val="00512B1A"/>
    <w:rsid w:val="00514950"/>
    <w:rsid w:val="005215FB"/>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E2482"/>
    <w:rsid w:val="005F4F73"/>
    <w:rsid w:val="006105F7"/>
    <w:rsid w:val="006156D5"/>
    <w:rsid w:val="0062338D"/>
    <w:rsid w:val="006254D5"/>
    <w:rsid w:val="00634E08"/>
    <w:rsid w:val="00642309"/>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72690"/>
    <w:rsid w:val="00782889"/>
    <w:rsid w:val="00790965"/>
    <w:rsid w:val="007A20AF"/>
    <w:rsid w:val="007A5318"/>
    <w:rsid w:val="007B2D7C"/>
    <w:rsid w:val="007B61C5"/>
    <w:rsid w:val="007C15B9"/>
    <w:rsid w:val="007C4F93"/>
    <w:rsid w:val="007D02FB"/>
    <w:rsid w:val="007D386E"/>
    <w:rsid w:val="007E5D0D"/>
    <w:rsid w:val="007E6E69"/>
    <w:rsid w:val="00800A8B"/>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B4ED4"/>
    <w:rsid w:val="008C231A"/>
    <w:rsid w:val="008C2A0D"/>
    <w:rsid w:val="008D41A0"/>
    <w:rsid w:val="008D484C"/>
    <w:rsid w:val="008D7355"/>
    <w:rsid w:val="008E5E54"/>
    <w:rsid w:val="008F3303"/>
    <w:rsid w:val="00902A4F"/>
    <w:rsid w:val="00920203"/>
    <w:rsid w:val="0092087D"/>
    <w:rsid w:val="00920DAA"/>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D0C1B"/>
    <w:rsid w:val="00BE0E75"/>
    <w:rsid w:val="00BE4681"/>
    <w:rsid w:val="00BE75B4"/>
    <w:rsid w:val="00BF173E"/>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143F"/>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 w:val="5E6D6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798A94-E256-4980-B061-4FF0A138C2DF}">
  <ds:schemaRefs/>
</ds:datastoreItem>
</file>

<file path=docProps/app.xml><?xml version="1.0" encoding="utf-8"?>
<Properties xmlns="http://schemas.openxmlformats.org/officeDocument/2006/extended-properties" xmlns:vt="http://schemas.openxmlformats.org/officeDocument/2006/docPropsVTypes">
  <Template>tmp1.dotx</Template>
  <Pages>18</Pages>
  <Words>4567</Words>
  <Characters>5335</Characters>
  <Lines>40</Lines>
  <Paragraphs>11</Paragraphs>
  <TotalTime>0</TotalTime>
  <ScaleCrop>false</ScaleCrop>
  <LinksUpToDate>false</LinksUpToDate>
  <CharactersWithSpaces>5530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2022-01-14T07:56:00Z</dcterms:created>
  <dc:creator>WPS_1508576054</dc:creator>
  <cp:lastModifiedBy>WPS_1508576054</cp:lastModifiedBy>
  <dcterms:modified xsi:type="dcterms:W3CDTF">2022-01-14T07:56:37Z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