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居住建筑</w:t>
      </w:r>
    </w:p>
    <w:p>
      <w:pPr>
        <w:spacing w:before="312" w:beforeLines="100" w:line="180" w:lineRule="atLeast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窗地面积比计算书</w:t>
      </w:r>
    </w:p>
    <w:p>
      <w:pPr>
        <w:spacing w:line="180" w:lineRule="atLeast"/>
        <w:rPr>
          <w:rFonts w:ascii="宋体" w:hAnsi="宋体"/>
          <w:b/>
          <w:bCs/>
          <w:szCs w:val="21"/>
        </w:rPr>
      </w:pPr>
    </w:p>
    <w:p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3"/>
              <w:jc w:val="center"/>
            </w:pPr>
            <w:bookmarkStart w:id="0" w:name="工程名称"/>
            <w:r>
              <w:t>启新项目（C02地块）-201#楼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pStyle w:val="3"/>
              <w:jc w:val="center"/>
            </w:pPr>
            <w:bookmarkStart w:id="1" w:name="设计编号"/>
            <w:r>
              <w:t>MJ401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pStyle w:val="3"/>
              <w:jc w:val="center"/>
            </w:pPr>
            <w:bookmarkStart w:id="2" w:name="建设单位"/>
            <w:r>
              <w:t>唐山盾石地产开发有限公司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pStyle w:val="3"/>
              <w:jc w:val="center"/>
            </w:pPr>
            <w:bookmarkStart w:id="3" w:name="设计单位"/>
            <w:r>
              <w:t>北京建都设计研究院有限责任公司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pStyle w:val="3"/>
              <w:jc w:val="center"/>
            </w:pPr>
            <w:bookmarkStart w:id="4" w:name="审核人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pStyle w:val="3"/>
              <w:jc w:val="center"/>
            </w:pPr>
            <w:bookmarkStart w:id="5" w:name="审定人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pStyle w:val="3"/>
              <w:jc w:val="center"/>
            </w:pPr>
            <w:bookmarkStart w:id="6" w:name="计算日期"/>
            <w:r>
              <w:t>2022年1月7日</w:t>
            </w:r>
            <w:bookmarkEnd w:id="6"/>
          </w:p>
        </w:tc>
      </w:tr>
    </w:tbl>
    <w:p>
      <w:pPr>
        <w:rPr>
          <w:rFonts w:ascii="黑体" w:hAnsi="黑体" w:eastAsia="黑体"/>
          <w:b/>
          <w:bCs/>
          <w:sz w:val="30"/>
          <w:szCs w:val="32"/>
        </w:rPr>
      </w:pPr>
    </w:p>
    <w:p>
      <w:pPr>
        <w:rPr>
          <w:rFonts w:ascii="黑体" w:hAnsi="黑体" w:eastAsia="黑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324100" cy="2324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34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b/>
          <w:bCs/>
          <w:sz w:val="30"/>
          <w:szCs w:val="32"/>
        </w:rPr>
      </w:pPr>
    </w:p>
    <w:p>
      <w:pPr>
        <w:rPr>
          <w:rFonts w:ascii="黑体" w:hAnsi="黑体" w:eastAsia="黑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5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3"/>
              <w:jc w:val="center"/>
            </w:pPr>
            <w:bookmarkStart w:id="8" w:name="采用软件"/>
            <w:r>
              <w:t>采光分析DALI2022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pStyle w:val="3"/>
              <w:jc w:val="center"/>
            </w:pPr>
            <w:bookmarkStart w:id="9" w:name="软件版本"/>
            <w:r>
              <w:t>20210808（SP1）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pStyle w:val="3"/>
              <w:jc w:val="center"/>
            </w:pPr>
            <w:bookmarkStart w:id="10" w:name="研发单位"/>
            <w:r>
              <w:t>北京绿建软件股份有限公司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正版授权码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3"/>
              <w:jc w:val="center"/>
            </w:pPr>
            <w:bookmarkStart w:id="11" w:name="正版授权码"/>
            <w:r>
              <w:t>P182EFA37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服务热线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shd w:val="clear" w:color="auto" w:fill="FFFFFF"/>
              </w:rPr>
              <w:t>400-094-1228</w:t>
            </w:r>
          </w:p>
        </w:tc>
      </w:tr>
    </w:tbl>
    <w:p>
      <w:pPr>
        <w:rPr>
          <w:rFonts w:ascii="黑体" w:hAnsi="黑体" w:eastAsia="黑体"/>
          <w:b/>
          <w:bCs/>
          <w:sz w:val="30"/>
          <w:szCs w:val="32"/>
        </w:rPr>
      </w:pPr>
    </w:p>
    <w:p>
      <w:pPr>
        <w:rPr>
          <w:rFonts w:ascii="黑体" w:hAnsi="黑体" w:eastAsia="黑体"/>
          <w:b/>
          <w:bCs/>
          <w:sz w:val="30"/>
          <w:szCs w:val="32"/>
        </w:rPr>
      </w:pPr>
    </w:p>
    <w:p>
      <w:pPr>
        <w:rPr>
          <w:rFonts w:ascii="黑体" w:hAnsi="黑体" w:eastAsia="黑体"/>
          <w:b/>
          <w:bCs/>
          <w:sz w:val="30"/>
          <w:szCs w:val="32"/>
        </w:rPr>
      </w:pPr>
    </w:p>
    <w:p>
      <w:pPr>
        <w:rPr>
          <w:rFonts w:ascii="黑体" w:hAnsi="黑体" w:eastAsia="黑体"/>
          <w:b/>
          <w:bCs/>
          <w:sz w:val="30"/>
          <w:szCs w:val="32"/>
        </w:rPr>
      </w:pPr>
    </w:p>
    <w:p>
      <w:pPr>
        <w:rPr>
          <w:rFonts w:ascii="黑体" w:hAnsi="黑体" w:eastAsia="黑体"/>
          <w:b/>
          <w:bCs/>
          <w:sz w:val="30"/>
          <w:szCs w:val="32"/>
        </w:rPr>
      </w:pPr>
    </w:p>
    <w:p>
      <w:p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rPr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_Toc14217 </w:instrText>
      </w:r>
      <w:r>
        <w:rPr>
          <w:szCs w:val="28"/>
        </w:rPr>
        <w:fldChar w:fldCharType="separate"/>
      </w:r>
      <w:r>
        <w:rPr>
          <w:rFonts w:hint="eastAsia"/>
        </w:rPr>
        <w:t>1. 建筑概况</w:t>
      </w:r>
      <w:r>
        <w:tab/>
      </w:r>
      <w:r>
        <w:fldChar w:fldCharType="begin"/>
      </w:r>
      <w:r>
        <w:instrText xml:space="preserve"> PAGEREF _Toc14217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_Toc1245 </w:instrText>
      </w:r>
      <w:r>
        <w:rPr>
          <w:szCs w:val="28"/>
        </w:rPr>
        <w:fldChar w:fldCharType="separate"/>
      </w:r>
      <w:r>
        <w:rPr>
          <w:rFonts w:hint="eastAsia"/>
        </w:rPr>
        <w:t>2. 计算目的</w:t>
      </w:r>
      <w:r>
        <w:tab/>
      </w:r>
      <w:r>
        <w:fldChar w:fldCharType="begin"/>
      </w:r>
      <w:r>
        <w:instrText xml:space="preserve"> PAGEREF _Toc1245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_Toc12668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_Toc12668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_Toc2618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_Toc2618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_Toc20193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标准要求</w:t>
      </w:r>
      <w:r>
        <w:tab/>
      </w:r>
      <w:r>
        <w:fldChar w:fldCharType="begin"/>
      </w:r>
      <w:r>
        <w:instrText xml:space="preserve"> PAGEREF _Toc20193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_Toc5181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_Toc5181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_Toc19041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4.1 </w:t>
      </w:r>
      <w:r>
        <w:t>软件</w:t>
      </w:r>
      <w:r>
        <w:rPr>
          <w:rFonts w:hint="eastAsia"/>
        </w:rPr>
        <w:t>选用</w:t>
      </w:r>
      <w:r>
        <w:tab/>
      </w:r>
      <w:r>
        <w:fldChar w:fldCharType="begin"/>
      </w:r>
      <w:r>
        <w:instrText xml:space="preserve"> PAGEREF _Toc19041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_Toc5308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_Toc5308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_Toc12556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5. 计算参数选用</w:t>
      </w:r>
      <w:r>
        <w:tab/>
      </w:r>
      <w:r>
        <w:fldChar w:fldCharType="begin"/>
      </w:r>
      <w:r>
        <w:instrText xml:space="preserve"> PAGEREF _Toc12556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_Toc25828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6. 窗地比结果</w:t>
      </w:r>
      <w:r>
        <w:tab/>
      </w:r>
      <w:r>
        <w:fldChar w:fldCharType="begin"/>
      </w:r>
      <w:r>
        <w:instrText xml:space="preserve"> PAGEREF _Toc25828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_Toc32302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_Toc32302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>
      <w:pPr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>
      <w:pPr>
        <w:pStyle w:val="2"/>
        <w:ind w:left="432" w:hanging="432"/>
      </w:pPr>
      <w:bookmarkStart w:id="13" w:name="_Toc14217"/>
      <w:r>
        <w:rPr>
          <w:rFonts w:hint="eastAsia"/>
        </w:rPr>
        <w:t>建筑概况</w:t>
      </w:r>
      <w:bookmarkEnd w:id="13"/>
    </w:p>
    <w:tbl>
      <w:tblPr>
        <w:tblStyle w:val="19"/>
        <w:tblpPr w:leftFromText="180" w:rightFromText="180" w:vertAnchor="text" w:horzAnchor="margin" w:tblpXSpec="center" w:tblpY="202"/>
        <w:tblW w:w="90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63"/>
        <w:gridCol w:w="1653"/>
        <w:gridCol w:w="22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"/>
              <w:rPr>
                <w:lang w:val="en-US"/>
              </w:rPr>
            </w:pPr>
            <w:r>
              <w:rPr>
                <w:rFonts w:hint="eastAsia"/>
                <w:lang w:val="en-US"/>
              </w:rPr>
              <w:t>项目所在地</w:t>
            </w:r>
          </w:p>
        </w:tc>
        <w:tc>
          <w:tcPr>
            <w:tcW w:w="6624" w:type="dxa"/>
            <w:gridSpan w:val="3"/>
          </w:tcPr>
          <w:p>
            <w:pPr>
              <w:pStyle w:val="3"/>
              <w:rPr>
                <w:lang w:val="en-US"/>
              </w:rPr>
            </w:pPr>
            <w:bookmarkStart w:id="14" w:name="项目地点"/>
            <w:r>
              <w:t>唐山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63" w:type="dxa"/>
          </w:tcPr>
          <w:p>
            <w:pPr>
              <w:pStyle w:val="3"/>
              <w:rPr>
                <w:lang w:val="en-US"/>
              </w:rPr>
            </w:pPr>
            <w:bookmarkStart w:id="15" w:name="光气候分区"/>
            <w:r>
              <w:t>III</w:t>
            </w:r>
            <w:bookmarkEnd w:id="15"/>
          </w:p>
        </w:tc>
        <w:tc>
          <w:tcPr>
            <w:tcW w:w="1653" w:type="dxa"/>
            <w:shd w:val="clear" w:color="auto" w:fill="E7E6E6"/>
          </w:tcPr>
          <w:p>
            <w:pPr>
              <w:pStyle w:val="3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208" w:type="dxa"/>
          </w:tcPr>
          <w:p>
            <w:pPr>
              <w:pStyle w:val="3"/>
              <w:rPr>
                <w:lang w:val="en-US"/>
              </w:rPr>
            </w:pPr>
            <w:bookmarkStart w:id="16" w:name="光气候系数K"/>
            <w:r>
              <w:t>1.00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>
            <w:pPr>
              <w:pStyle w:val="3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7" w:name="地上建筑面积"/>
            <w:r>
              <w:t>11782.90</w:t>
            </w:r>
            <w:bookmarkEnd w:id="17"/>
            <w:r>
              <w:rPr>
                <w:rFonts w:hint="eastAsia"/>
              </w:rPr>
              <w:t>㎡</w:t>
            </w:r>
            <w:r>
              <w:rPr>
                <w:rFonts w:hint="eastAsia"/>
                <w:lang w:val="en-US"/>
              </w:rPr>
              <w:t xml:space="preserve">    地下  </w:t>
            </w:r>
            <w:bookmarkStart w:id="18" w:name="地下建筑面积"/>
            <w:r>
              <w:t>333.31</w:t>
            </w:r>
            <w:bookmarkEnd w:id="18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>
            <w:pPr>
              <w:pStyle w:val="3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层数"/>
            <w:r>
              <w:t>19</w:t>
            </w:r>
            <w:bookmarkEnd w:id="19"/>
            <w:r>
              <w:rPr>
                <w:rFonts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>
            <w:pPr>
              <w:pStyle w:val="3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21" w:name="地上建筑高度"/>
            <w:r>
              <w:t>56.40</w:t>
            </w:r>
            <w:bookmarkEnd w:id="21"/>
            <w:r>
              <w:rPr>
                <w:rFonts w:hint="eastAsia"/>
                <w:lang w:val="en-US"/>
              </w:rPr>
              <w:t xml:space="preserve"> m     地下  </w:t>
            </w:r>
            <w:bookmarkStart w:id="22" w:name="地下建筑高度"/>
            <w:r>
              <w:t>3.30</w:t>
            </w:r>
            <w:bookmarkEnd w:id="22"/>
            <w:r>
              <w:rPr>
                <w:rFonts w:hint="eastAsia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"/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>
            <w:pPr>
              <w:pStyle w:val="3"/>
              <w:rPr>
                <w:lang w:val="en-US"/>
              </w:rPr>
            </w:pPr>
            <w:bookmarkStart w:id="23" w:name="备注"/>
            <w:bookmarkEnd w:id="23"/>
          </w:p>
        </w:tc>
      </w:tr>
    </w:tbl>
    <w:p>
      <w:pPr>
        <w:pStyle w:val="3"/>
        <w:jc w:val="center"/>
        <w:rPr>
          <w:lang w:val="en-US"/>
        </w:rPr>
      </w:pPr>
    </w:p>
    <w:p>
      <w:pPr>
        <w:pStyle w:val="3"/>
        <w:jc w:val="center"/>
        <w:rPr>
          <w:lang w:val="en-US"/>
        </w:rPr>
      </w:pPr>
    </w:p>
    <w:p>
      <w:pPr>
        <w:pStyle w:val="2"/>
        <w:ind w:left="432" w:hanging="432"/>
      </w:pPr>
      <w:bookmarkStart w:id="24" w:name="_Toc1245"/>
      <w:r>
        <w:rPr>
          <w:rFonts w:hint="eastAsia"/>
        </w:rPr>
        <w:t>计算目的</w:t>
      </w:r>
      <w:bookmarkEnd w:id="24"/>
    </w:p>
    <w:p>
      <w:pPr>
        <w:pStyle w:val="3"/>
        <w:ind w:firstLine="420" w:firstLineChars="200"/>
      </w:pPr>
      <w:r>
        <w:rPr>
          <w:rFonts w:hint="eastAsia"/>
        </w:rPr>
        <w:t>通过软件对目标建筑进行采光分析计算，求得居住</w:t>
      </w:r>
      <w:r>
        <w:t>建筑内</w:t>
      </w:r>
      <w:r>
        <w:rPr>
          <w:rFonts w:hint="eastAsia"/>
        </w:rPr>
        <w:t>卧室</w:t>
      </w:r>
      <w:r>
        <w:t>、起居室的窗地</w:t>
      </w:r>
      <w:r>
        <w:rPr>
          <w:rFonts w:hint="eastAsia"/>
        </w:rPr>
        <w:t>面积比，从而评价本项目的建筑采光设计是否满足《绿色建筑评价标准》的要求。</w:t>
      </w:r>
    </w:p>
    <w:p>
      <w:pPr>
        <w:pStyle w:val="2"/>
        <w:ind w:left="432" w:hanging="432"/>
      </w:pPr>
      <w:bookmarkStart w:id="25" w:name="_Toc12668"/>
      <w:r>
        <w:rPr>
          <w:rFonts w:hint="eastAsia"/>
        </w:rPr>
        <w:t>分析依据</w:t>
      </w:r>
      <w:bookmarkEnd w:id="25"/>
    </w:p>
    <w:p>
      <w:pPr>
        <w:pStyle w:val="4"/>
        <w:jc w:val="left"/>
      </w:pPr>
      <w:bookmarkStart w:id="26" w:name="_Toc2618"/>
      <w:r>
        <w:rPr>
          <w:rFonts w:hint="eastAsia"/>
        </w:rPr>
        <w:t>评价依据</w:t>
      </w:r>
      <w:bookmarkEnd w:id="26"/>
    </w:p>
    <w:p>
      <w:pPr>
        <w:pStyle w:val="3"/>
        <w:numPr>
          <w:ilvl w:val="0"/>
          <w:numId w:val="2"/>
        </w:numPr>
        <w:rPr>
          <w:lang w:val="en-US"/>
        </w:rPr>
      </w:pPr>
      <w:r>
        <w:rPr>
          <w:lang w:val="en-US"/>
        </w:rPr>
        <w:t>《建筑采光设计标准》GB 5003-2013</w:t>
      </w:r>
    </w:p>
    <w:p>
      <w:pPr>
        <w:pStyle w:val="3"/>
        <w:numPr>
          <w:ilvl w:val="0"/>
          <w:numId w:val="2"/>
        </w:numPr>
        <w:rPr>
          <w:lang w:val="en-US"/>
        </w:rPr>
      </w:pPr>
      <w:r>
        <w:rPr>
          <w:lang w:val="en-US"/>
        </w:rPr>
        <w:t>《绿色建筑评价标准》GB/T 50378-2014</w:t>
      </w:r>
    </w:p>
    <w:p>
      <w:pPr>
        <w:pStyle w:val="3"/>
        <w:numPr>
          <w:ilvl w:val="0"/>
          <w:numId w:val="2"/>
        </w:numPr>
        <w:rPr>
          <w:lang w:val="en-US"/>
        </w:rPr>
      </w:pPr>
      <w:r>
        <w:rPr>
          <w:lang w:val="en-US"/>
        </w:rPr>
        <w:t>《采光测量方法》GB/T5699-2017</w:t>
      </w:r>
    </w:p>
    <w:p>
      <w:pPr>
        <w:pStyle w:val="4"/>
      </w:pPr>
      <w:bookmarkStart w:id="27" w:name="_Toc20193"/>
      <w:r>
        <w:rPr>
          <w:rFonts w:hint="eastAsia"/>
        </w:rPr>
        <w:t>标准要求</w:t>
      </w:r>
      <w:bookmarkEnd w:id="27"/>
    </w:p>
    <w:p>
      <w:pPr>
        <w:pStyle w:val="3"/>
        <w:numPr>
          <w:ilvl w:val="0"/>
          <w:numId w:val="3"/>
        </w:numPr>
      </w:pPr>
      <w:r>
        <w:rPr>
          <w:rFonts w:hint="eastAsia"/>
        </w:rPr>
        <w:t>《绿色建筑评价标准》GB/T 50378-2014要求</w:t>
      </w:r>
      <w:r>
        <w:t>：</w:t>
      </w:r>
    </w:p>
    <w:p>
      <w:pPr>
        <w:pStyle w:val="3"/>
        <w:ind w:left="360" w:leftChars="200"/>
      </w:pPr>
      <w:r>
        <w:t>8.2.6 主要功能房间的采光系数满足现行国家标准《建筑采光设计标准》GB 50033的要求，评价总分值为8分。</w:t>
      </w:r>
    </w:p>
    <w:p>
      <w:pPr>
        <w:pStyle w:val="3"/>
        <w:ind w:left="360" w:leftChars="200"/>
      </w:pPr>
      <w:r>
        <w:t>1</w:t>
      </w:r>
      <w:r>
        <w:rPr>
          <w:rFonts w:hint="eastAsia"/>
        </w:rPr>
        <w:t xml:space="preserve"> 居住建筑：</w:t>
      </w:r>
      <w:r>
        <w:rPr>
          <w:b/>
        </w:rPr>
        <w:t>卧室、起居室</w:t>
      </w:r>
      <w:bookmarkStart w:id="51" w:name="_GoBack"/>
      <w:bookmarkEnd w:id="51"/>
      <w:r>
        <w:rPr>
          <w:b/>
        </w:rPr>
        <w:t>的窗地面积比达到1/6，得6分；达到1/5，得8分</w:t>
      </w:r>
      <w:r>
        <w:t>。</w:t>
      </w:r>
    </w:p>
    <w:p>
      <w:pPr>
        <w:pStyle w:val="2"/>
      </w:pPr>
      <w:bookmarkStart w:id="28" w:name="_Toc5181"/>
      <w:r>
        <w:rPr>
          <w:rFonts w:hint="eastAsia"/>
        </w:rPr>
        <w:t>应用软件与计算方法</w:t>
      </w:r>
      <w:bookmarkEnd w:id="28"/>
    </w:p>
    <w:p>
      <w:pPr>
        <w:pStyle w:val="4"/>
      </w:pPr>
      <w:bookmarkStart w:id="29" w:name="_Toc19041"/>
      <w:r>
        <w:t>软件</w:t>
      </w:r>
      <w:r>
        <w:rPr>
          <w:rFonts w:hint="eastAsia"/>
        </w:rPr>
        <w:t>选用</w:t>
      </w:r>
      <w:bookmarkEnd w:id="29"/>
    </w:p>
    <w:p>
      <w:pPr>
        <w:pStyle w:val="3"/>
        <w:ind w:firstLine="420" w:firstLineChars="200"/>
      </w:pPr>
      <w:r>
        <w:t>本报告采用绿建斯维尔采光分析软件Dali</w:t>
      </w:r>
      <w:r>
        <w:rPr>
          <w:rFonts w:hint="eastAsia"/>
        </w:rPr>
        <w:t>作为分析工具。</w:t>
      </w:r>
      <w:r>
        <w:t>Dali是国内首款与国标《建筑采光设计标准》GB50033配套的软件，支持《绿色建筑评价标准》GB/T50378的采光指标要求</w:t>
      </w:r>
      <w:r>
        <w:rPr>
          <w:rFonts w:hint="eastAsia"/>
        </w:rPr>
        <w:t>。软件</w:t>
      </w:r>
      <w:r>
        <w:t>以Radiance为计算核心，将计算结果返回到Dali进行处理分析。Dali可对</w:t>
      </w:r>
      <w:r>
        <w:rPr>
          <w:b/>
        </w:rPr>
        <w:t>地下采光</w:t>
      </w:r>
      <w:r>
        <w:t>、视野率、达标率、内区采光、眩光指数等进行快速分析，并根据需求生成</w:t>
      </w:r>
      <w:r>
        <w:rPr>
          <w:rFonts w:hint="eastAsia"/>
        </w:rPr>
        <w:t>《地下采光分析</w:t>
      </w:r>
      <w:r>
        <w:t>计算书</w:t>
      </w:r>
      <w:r>
        <w:rPr>
          <w:rFonts w:hint="eastAsia"/>
        </w:rPr>
        <w:t>》等</w:t>
      </w:r>
      <w:r>
        <w:t>采光相关计算书。</w:t>
      </w:r>
    </w:p>
    <w:p>
      <w:pPr>
        <w:pStyle w:val="3"/>
        <w:ind w:firstLine="420" w:firstLineChars="20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。</w:t>
      </w:r>
    </w:p>
    <w:p>
      <w:pPr>
        <w:pStyle w:val="4"/>
      </w:pPr>
      <w:bookmarkStart w:id="30" w:name="_Toc5308"/>
      <w:r>
        <w:rPr>
          <w:rFonts w:hint="eastAsia"/>
        </w:rPr>
        <w:t>计算方法</w:t>
      </w:r>
      <w:bookmarkEnd w:id="30"/>
    </w:p>
    <w:p>
      <w:pPr>
        <w:pStyle w:val="13"/>
        <w:spacing w:line="360" w:lineRule="auto"/>
        <w:ind w:firstLine="420"/>
        <w:rPr>
          <w:b/>
          <w:sz w:val="21"/>
          <w:szCs w:val="21"/>
        </w:rPr>
      </w:pPr>
      <w:bookmarkStart w:id="31" w:name="_Toc264043630"/>
      <w:bookmarkStart w:id="32" w:name="_Toc264569237"/>
      <w:bookmarkStart w:id="33" w:name="_Toc275165387"/>
      <w:bookmarkStart w:id="34" w:name="_Toc290149059"/>
      <w:bookmarkStart w:id="35" w:name="_Toc290209317"/>
      <w:bookmarkStart w:id="36" w:name="_Toc290209341"/>
      <w:bookmarkStart w:id="37" w:name="_Toc312399796"/>
      <w:r>
        <w:rPr>
          <w:rFonts w:hint="eastAsia"/>
          <w:b/>
          <w:sz w:val="21"/>
          <w:szCs w:val="21"/>
        </w:rPr>
        <w:t>■ 窗地面积比</w:t>
      </w:r>
    </w:p>
    <w:p>
      <w:pPr>
        <w:pStyle w:val="3"/>
        <w:ind w:firstLine="420" w:firstLineChars="200"/>
      </w:pPr>
      <w:r>
        <w:t>窗洞口面积与地面面积之比。对于侧面采光，应为参考平面（即距离地板750mm）以上的窗洞口面积</w:t>
      </w:r>
      <w:r>
        <w:rPr>
          <w:rFonts w:hint="eastAsia"/>
        </w:rPr>
        <w:t>，</w:t>
      </w:r>
      <w:r>
        <w:t>窗地面积比用Ac/Ad来表示，</w:t>
      </w:r>
      <w:r>
        <w:rPr>
          <w:rFonts w:hint="eastAsia"/>
        </w:rPr>
        <w:t>窗面积Ac为窗洞口面积，地面面积Ad为室内地面的净面积。</w:t>
      </w:r>
    </w:p>
    <w:bookmarkEnd w:id="31"/>
    <w:bookmarkEnd w:id="32"/>
    <w:bookmarkEnd w:id="33"/>
    <w:bookmarkEnd w:id="34"/>
    <w:bookmarkEnd w:id="35"/>
    <w:bookmarkEnd w:id="36"/>
    <w:bookmarkEnd w:id="37"/>
    <w:p>
      <w:pPr>
        <w:pStyle w:val="2"/>
        <w:ind w:left="432" w:hanging="432"/>
        <w:rPr>
          <w:rFonts w:ascii="微软雅黑" w:hAnsi="微软雅黑"/>
        </w:rPr>
      </w:pPr>
      <w:bookmarkStart w:id="38" w:name="_Toc12556"/>
      <w:r>
        <w:rPr>
          <w:rFonts w:hint="eastAsia" w:ascii="微软雅黑" w:hAnsi="微软雅黑"/>
        </w:rPr>
        <w:t>计算参数选用</w:t>
      </w:r>
      <w:bookmarkEnd w:id="38"/>
    </w:p>
    <w:p>
      <w:pPr>
        <w:pStyle w:val="3"/>
        <w:ind w:firstLine="420" w:firstLineChars="200"/>
        <w:rPr>
          <w:lang w:val="en-US"/>
        </w:rPr>
      </w:pPr>
      <w:r>
        <w:rPr>
          <w:rFonts w:hint="eastAsia"/>
          <w:lang w:val="en-US"/>
        </w:rPr>
        <w:t>为了计算本项目的</w:t>
      </w:r>
      <w:r>
        <w:rPr>
          <w:lang w:val="en-US"/>
        </w:rPr>
        <w:t>窗地比</w:t>
      </w:r>
      <w:r>
        <w:rPr>
          <w:rFonts w:hint="eastAsia"/>
          <w:lang w:val="en-US"/>
        </w:rPr>
        <w:t>情况</w:t>
      </w:r>
      <w:r>
        <w:rPr>
          <w:lang w:val="en-US"/>
        </w:rPr>
        <w:t>，</w:t>
      </w:r>
      <w:r>
        <w:rPr>
          <w:rFonts w:hint="eastAsia"/>
          <w:lang w:val="en-US"/>
        </w:rPr>
        <w:t>窗地比</w:t>
      </w:r>
      <w:r>
        <w:rPr>
          <w:lang w:val="en-US"/>
        </w:rPr>
        <w:t>计算时</w:t>
      </w:r>
      <w:r>
        <w:rPr>
          <w:rFonts w:hint="eastAsia"/>
          <w:lang w:val="en-US"/>
        </w:rPr>
        <w:t>需要</w:t>
      </w:r>
      <w:r>
        <w:rPr>
          <w:lang w:val="en-US"/>
        </w:rPr>
        <w:t>对门窗中透光部分的面积</w:t>
      </w:r>
      <w:r>
        <w:rPr>
          <w:rFonts w:hint="eastAsia"/>
          <w:lang w:val="en-US"/>
        </w:rPr>
        <w:t>和</w:t>
      </w:r>
      <w:r>
        <w:rPr>
          <w:lang w:val="en-US"/>
        </w:rPr>
        <w:t>数量进行统计</w:t>
      </w:r>
      <w:r>
        <w:rPr>
          <w:rFonts w:hint="eastAsia"/>
          <w:lang w:val="en-US"/>
        </w:rPr>
        <w:t>，</w:t>
      </w:r>
      <w:r>
        <w:rPr>
          <w:lang w:val="en-US"/>
        </w:rPr>
        <w:t>本项目中门窗信息统计如下：</w:t>
      </w:r>
    </w:p>
    <w:tbl>
      <w:tblPr>
        <w:tblStyle w:val="19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867"/>
        <w:gridCol w:w="1867"/>
        <w:gridCol w:w="1867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宽度(mm)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高度(mm)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/>
        </w:tc>
        <w:tc>
          <w:tcPr>
            <w:tcW w:w="1867" w:type="dxa"/>
            <w:vAlign w:val="center"/>
          </w:tcPr>
          <w:p>
            <w:r>
              <w:t>1100</w:t>
            </w:r>
          </w:p>
        </w:tc>
        <w:tc>
          <w:tcPr>
            <w:tcW w:w="1867" w:type="dxa"/>
            <w:vAlign w:val="center"/>
          </w:tcPr>
          <w:p>
            <w:r>
              <w:t>2100</w:t>
            </w:r>
          </w:p>
        </w:tc>
        <w:tc>
          <w:tcPr>
            <w:tcW w:w="1867" w:type="dxa"/>
            <w:vAlign w:val="center"/>
          </w:tcPr>
          <w:p>
            <w:r>
              <w:t>2.31</w:t>
            </w:r>
          </w:p>
        </w:tc>
        <w:tc>
          <w:tcPr>
            <w:tcW w:w="1862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C0514</w:t>
            </w:r>
          </w:p>
        </w:tc>
        <w:tc>
          <w:tcPr>
            <w:tcW w:w="1867" w:type="dxa"/>
            <w:vAlign w:val="center"/>
          </w:tcPr>
          <w:p>
            <w:r>
              <w:t>500</w:t>
            </w:r>
          </w:p>
        </w:tc>
        <w:tc>
          <w:tcPr>
            <w:tcW w:w="1867" w:type="dxa"/>
            <w:vAlign w:val="center"/>
          </w:tcPr>
          <w:p>
            <w:r>
              <w:t>1400</w:t>
            </w:r>
          </w:p>
        </w:tc>
        <w:tc>
          <w:tcPr>
            <w:tcW w:w="1867" w:type="dxa"/>
            <w:vAlign w:val="center"/>
          </w:tcPr>
          <w:p>
            <w:r>
              <w:t>0.70</w:t>
            </w:r>
          </w:p>
        </w:tc>
        <w:tc>
          <w:tcPr>
            <w:tcW w:w="1862" w:type="dxa"/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C0714</w:t>
            </w:r>
          </w:p>
        </w:tc>
        <w:tc>
          <w:tcPr>
            <w:tcW w:w="1867" w:type="dxa"/>
            <w:vAlign w:val="center"/>
          </w:tcPr>
          <w:p>
            <w:r>
              <w:t>700</w:t>
            </w:r>
          </w:p>
        </w:tc>
        <w:tc>
          <w:tcPr>
            <w:tcW w:w="1867" w:type="dxa"/>
            <w:vAlign w:val="center"/>
          </w:tcPr>
          <w:p>
            <w:r>
              <w:t>1400</w:t>
            </w:r>
          </w:p>
        </w:tc>
        <w:tc>
          <w:tcPr>
            <w:tcW w:w="1867" w:type="dxa"/>
            <w:vAlign w:val="center"/>
          </w:tcPr>
          <w:p>
            <w:r>
              <w:t>0.98</w:t>
            </w:r>
          </w:p>
        </w:tc>
        <w:tc>
          <w:tcPr>
            <w:tcW w:w="1862" w:type="dxa"/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C0914</w:t>
            </w:r>
          </w:p>
        </w:tc>
        <w:tc>
          <w:tcPr>
            <w:tcW w:w="1867" w:type="dxa"/>
            <w:vAlign w:val="center"/>
          </w:tcPr>
          <w:p>
            <w:r>
              <w:t>800</w:t>
            </w:r>
          </w:p>
        </w:tc>
        <w:tc>
          <w:tcPr>
            <w:tcW w:w="1867" w:type="dxa"/>
            <w:vAlign w:val="center"/>
          </w:tcPr>
          <w:p>
            <w:r>
              <w:t>1400</w:t>
            </w:r>
          </w:p>
        </w:tc>
        <w:tc>
          <w:tcPr>
            <w:tcW w:w="1867" w:type="dxa"/>
            <w:vAlign w:val="center"/>
          </w:tcPr>
          <w:p>
            <w:r>
              <w:t>1.12</w:t>
            </w:r>
          </w:p>
        </w:tc>
        <w:tc>
          <w:tcPr>
            <w:tcW w:w="1862" w:type="dxa"/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C0914a</w:t>
            </w:r>
          </w:p>
        </w:tc>
        <w:tc>
          <w:tcPr>
            <w:tcW w:w="1867" w:type="dxa"/>
            <w:vAlign w:val="center"/>
          </w:tcPr>
          <w:p>
            <w:r>
              <w:t>900</w:t>
            </w:r>
          </w:p>
        </w:tc>
        <w:tc>
          <w:tcPr>
            <w:tcW w:w="1867" w:type="dxa"/>
            <w:vAlign w:val="center"/>
          </w:tcPr>
          <w:p>
            <w:r>
              <w:t>1400</w:t>
            </w:r>
          </w:p>
        </w:tc>
        <w:tc>
          <w:tcPr>
            <w:tcW w:w="1867" w:type="dxa"/>
            <w:vAlign w:val="center"/>
          </w:tcPr>
          <w:p>
            <w:r>
              <w:t>1.26</w:t>
            </w:r>
          </w:p>
        </w:tc>
        <w:tc>
          <w:tcPr>
            <w:tcW w:w="1862" w:type="dxa"/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C1020</w:t>
            </w:r>
          </w:p>
        </w:tc>
        <w:tc>
          <w:tcPr>
            <w:tcW w:w="1867" w:type="dxa"/>
            <w:vAlign w:val="center"/>
          </w:tcPr>
          <w:p>
            <w:r>
              <w:t>1000</w:t>
            </w:r>
          </w:p>
        </w:tc>
        <w:tc>
          <w:tcPr>
            <w:tcW w:w="1867" w:type="dxa"/>
            <w:vAlign w:val="center"/>
          </w:tcPr>
          <w:p>
            <w:r>
              <w:t>2000</w:t>
            </w:r>
          </w:p>
        </w:tc>
        <w:tc>
          <w:tcPr>
            <w:tcW w:w="1867" w:type="dxa"/>
            <w:vAlign w:val="center"/>
          </w:tcPr>
          <w:p>
            <w:r>
              <w:t>2.00</w:t>
            </w:r>
          </w:p>
        </w:tc>
        <w:tc>
          <w:tcPr>
            <w:tcW w:w="1862" w:type="dxa"/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C1112（排烟）</w:t>
            </w:r>
          </w:p>
        </w:tc>
        <w:tc>
          <w:tcPr>
            <w:tcW w:w="1867" w:type="dxa"/>
            <w:vAlign w:val="center"/>
          </w:tcPr>
          <w:p>
            <w:r>
              <w:t>1100</w:t>
            </w:r>
          </w:p>
        </w:tc>
        <w:tc>
          <w:tcPr>
            <w:tcW w:w="1867" w:type="dxa"/>
            <w:vAlign w:val="center"/>
          </w:tcPr>
          <w:p>
            <w:r>
              <w:t>1400</w:t>
            </w:r>
          </w:p>
        </w:tc>
        <w:tc>
          <w:tcPr>
            <w:tcW w:w="1867" w:type="dxa"/>
            <w:vAlign w:val="center"/>
          </w:tcPr>
          <w:p>
            <w:r>
              <w:t>1.54</w:t>
            </w:r>
          </w:p>
        </w:tc>
        <w:tc>
          <w:tcPr>
            <w:tcW w:w="1862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C1209</w:t>
            </w:r>
          </w:p>
        </w:tc>
        <w:tc>
          <w:tcPr>
            <w:tcW w:w="1867" w:type="dxa"/>
            <w:vAlign w:val="center"/>
          </w:tcPr>
          <w:p>
            <w:r>
              <w:t>1200</w:t>
            </w:r>
          </w:p>
        </w:tc>
        <w:tc>
          <w:tcPr>
            <w:tcW w:w="1867" w:type="dxa"/>
            <w:vAlign w:val="center"/>
          </w:tcPr>
          <w:p>
            <w:r>
              <w:t>1200</w:t>
            </w:r>
          </w:p>
        </w:tc>
        <w:tc>
          <w:tcPr>
            <w:tcW w:w="1867" w:type="dxa"/>
            <w:vAlign w:val="center"/>
          </w:tcPr>
          <w:p>
            <w:r>
              <w:t>1.44</w:t>
            </w:r>
          </w:p>
        </w:tc>
        <w:tc>
          <w:tcPr>
            <w:tcW w:w="1862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C1214</w:t>
            </w:r>
          </w:p>
        </w:tc>
        <w:tc>
          <w:tcPr>
            <w:tcW w:w="1867" w:type="dxa"/>
            <w:vAlign w:val="center"/>
          </w:tcPr>
          <w:p>
            <w:r>
              <w:t>1200</w:t>
            </w:r>
          </w:p>
        </w:tc>
        <w:tc>
          <w:tcPr>
            <w:tcW w:w="1867" w:type="dxa"/>
            <w:vAlign w:val="center"/>
          </w:tcPr>
          <w:p>
            <w:r>
              <w:t>1400</w:t>
            </w:r>
          </w:p>
        </w:tc>
        <w:tc>
          <w:tcPr>
            <w:tcW w:w="1867" w:type="dxa"/>
            <w:vAlign w:val="center"/>
          </w:tcPr>
          <w:p>
            <w:r>
              <w:t>1.68</w:t>
            </w:r>
          </w:p>
        </w:tc>
        <w:tc>
          <w:tcPr>
            <w:tcW w:w="1862" w:type="dxa"/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C1514</w:t>
            </w:r>
          </w:p>
        </w:tc>
        <w:tc>
          <w:tcPr>
            <w:tcW w:w="1867" w:type="dxa"/>
            <w:vAlign w:val="center"/>
          </w:tcPr>
          <w:p>
            <w:r>
              <w:t>1400</w:t>
            </w:r>
          </w:p>
        </w:tc>
        <w:tc>
          <w:tcPr>
            <w:tcW w:w="1867" w:type="dxa"/>
            <w:vAlign w:val="center"/>
          </w:tcPr>
          <w:p>
            <w:r>
              <w:t>1400</w:t>
            </w:r>
          </w:p>
        </w:tc>
        <w:tc>
          <w:tcPr>
            <w:tcW w:w="1867" w:type="dxa"/>
            <w:vAlign w:val="center"/>
          </w:tcPr>
          <w:p>
            <w:r>
              <w:t>1.96</w:t>
            </w:r>
          </w:p>
        </w:tc>
        <w:tc>
          <w:tcPr>
            <w:tcW w:w="1862" w:type="dxa"/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C1817</w:t>
            </w:r>
          </w:p>
        </w:tc>
        <w:tc>
          <w:tcPr>
            <w:tcW w:w="1867" w:type="dxa"/>
            <w:vAlign w:val="center"/>
          </w:tcPr>
          <w:p>
            <w:r>
              <w:t>1800</w:t>
            </w:r>
          </w:p>
        </w:tc>
        <w:tc>
          <w:tcPr>
            <w:tcW w:w="1867" w:type="dxa"/>
            <w:vAlign w:val="center"/>
          </w:tcPr>
          <w:p>
            <w:r>
              <w:t>1700</w:t>
            </w:r>
          </w:p>
        </w:tc>
        <w:tc>
          <w:tcPr>
            <w:tcW w:w="1867" w:type="dxa"/>
            <w:vAlign w:val="center"/>
          </w:tcPr>
          <w:p>
            <w:r>
              <w:t>3.06</w:t>
            </w:r>
          </w:p>
        </w:tc>
        <w:tc>
          <w:tcPr>
            <w:tcW w:w="1862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C2322</w:t>
            </w:r>
          </w:p>
        </w:tc>
        <w:tc>
          <w:tcPr>
            <w:tcW w:w="1867" w:type="dxa"/>
            <w:vAlign w:val="center"/>
          </w:tcPr>
          <w:p>
            <w:r>
              <w:t>2300</w:t>
            </w:r>
          </w:p>
        </w:tc>
        <w:tc>
          <w:tcPr>
            <w:tcW w:w="1867" w:type="dxa"/>
            <w:vAlign w:val="center"/>
          </w:tcPr>
          <w:p>
            <w:r>
              <w:t>2200</w:t>
            </w:r>
          </w:p>
        </w:tc>
        <w:tc>
          <w:tcPr>
            <w:tcW w:w="1867" w:type="dxa"/>
            <w:vAlign w:val="center"/>
          </w:tcPr>
          <w:p>
            <w:r>
              <w:t>5.06</w:t>
            </w:r>
          </w:p>
        </w:tc>
        <w:tc>
          <w:tcPr>
            <w:tcW w:w="1862" w:type="dxa"/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C2724</w:t>
            </w:r>
          </w:p>
        </w:tc>
        <w:tc>
          <w:tcPr>
            <w:tcW w:w="1867" w:type="dxa"/>
            <w:vAlign w:val="center"/>
          </w:tcPr>
          <w:p>
            <w:r>
              <w:t>2700</w:t>
            </w:r>
          </w:p>
        </w:tc>
        <w:tc>
          <w:tcPr>
            <w:tcW w:w="1867" w:type="dxa"/>
            <w:vAlign w:val="center"/>
          </w:tcPr>
          <w:p>
            <w:r>
              <w:t>2400</w:t>
            </w:r>
          </w:p>
        </w:tc>
        <w:tc>
          <w:tcPr>
            <w:tcW w:w="1867" w:type="dxa"/>
            <w:vAlign w:val="center"/>
          </w:tcPr>
          <w:p>
            <w:r>
              <w:t>6.48</w:t>
            </w:r>
          </w:p>
        </w:tc>
        <w:tc>
          <w:tcPr>
            <w:tcW w:w="1862" w:type="dxa"/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PC1517</w:t>
            </w:r>
          </w:p>
        </w:tc>
        <w:tc>
          <w:tcPr>
            <w:tcW w:w="1867" w:type="dxa"/>
            <w:vAlign w:val="center"/>
          </w:tcPr>
          <w:p>
            <w:r>
              <w:t>1500</w:t>
            </w:r>
          </w:p>
        </w:tc>
        <w:tc>
          <w:tcPr>
            <w:tcW w:w="1867" w:type="dxa"/>
            <w:vAlign w:val="center"/>
          </w:tcPr>
          <w:p>
            <w:r>
              <w:t>1700</w:t>
            </w:r>
          </w:p>
        </w:tc>
        <w:tc>
          <w:tcPr>
            <w:tcW w:w="1867" w:type="dxa"/>
            <w:vAlign w:val="center"/>
          </w:tcPr>
          <w:p>
            <w:r>
              <w:t>2.55</w:t>
            </w:r>
          </w:p>
        </w:tc>
        <w:tc>
          <w:tcPr>
            <w:tcW w:w="1862" w:type="dxa"/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PC1817</w:t>
            </w:r>
          </w:p>
        </w:tc>
        <w:tc>
          <w:tcPr>
            <w:tcW w:w="1867" w:type="dxa"/>
            <w:vAlign w:val="center"/>
          </w:tcPr>
          <w:p>
            <w:r>
              <w:t>1800</w:t>
            </w:r>
          </w:p>
        </w:tc>
        <w:tc>
          <w:tcPr>
            <w:tcW w:w="1867" w:type="dxa"/>
            <w:vAlign w:val="center"/>
          </w:tcPr>
          <w:p>
            <w:r>
              <w:t>1700</w:t>
            </w:r>
          </w:p>
        </w:tc>
        <w:tc>
          <w:tcPr>
            <w:tcW w:w="1867" w:type="dxa"/>
            <w:vAlign w:val="center"/>
          </w:tcPr>
          <w:p>
            <w:r>
              <w:t>3.06</w:t>
            </w:r>
          </w:p>
        </w:tc>
        <w:tc>
          <w:tcPr>
            <w:tcW w:w="1862" w:type="dxa"/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r>
              <w:t>ZJC3722</w:t>
            </w:r>
          </w:p>
        </w:tc>
        <w:tc>
          <w:tcPr>
            <w:tcW w:w="1867" w:type="dxa"/>
            <w:vAlign w:val="center"/>
          </w:tcPr>
          <w:p>
            <w:r>
              <w:t>3450</w:t>
            </w:r>
          </w:p>
        </w:tc>
        <w:tc>
          <w:tcPr>
            <w:tcW w:w="1867" w:type="dxa"/>
            <w:vAlign w:val="center"/>
          </w:tcPr>
          <w:p>
            <w:r>
              <w:t>2200</w:t>
            </w:r>
          </w:p>
        </w:tc>
        <w:tc>
          <w:tcPr>
            <w:tcW w:w="1867" w:type="dxa"/>
            <w:vAlign w:val="center"/>
          </w:tcPr>
          <w:p>
            <w:r>
              <w:t>7.59</w:t>
            </w:r>
          </w:p>
        </w:tc>
        <w:tc>
          <w:tcPr>
            <w:tcW w:w="1862" w:type="dxa"/>
            <w:vAlign w:val="center"/>
          </w:tcPr>
          <w:p>
            <w:r>
              <w:t>8</w:t>
            </w:r>
          </w:p>
        </w:tc>
      </w:tr>
    </w:tbl>
    <w:p>
      <w:pPr>
        <w:rPr>
          <w:lang w:val="en-US"/>
        </w:rPr>
      </w:pPr>
      <w:bookmarkStart w:id="39" w:name="门窗参数"/>
      <w:bookmarkEnd w:id="39"/>
    </w:p>
    <w:p>
      <w:pPr>
        <w:pStyle w:val="3"/>
        <w:jc w:val="center"/>
        <w:rPr>
          <w:sz w:val="18"/>
          <w:szCs w:val="18"/>
          <w:lang w:val="en-US"/>
        </w:rPr>
      </w:pPr>
    </w:p>
    <w:p>
      <w:pPr>
        <w:pStyle w:val="2"/>
        <w:ind w:left="432" w:hanging="432"/>
        <w:rPr>
          <w:rFonts w:ascii="微软雅黑" w:hAnsi="微软雅黑"/>
        </w:rPr>
      </w:pPr>
      <w:bookmarkStart w:id="40" w:name="_Toc427164156"/>
      <w:bookmarkStart w:id="41" w:name="_Toc25828"/>
      <w:r>
        <w:rPr>
          <w:rFonts w:hint="eastAsia" w:ascii="微软雅黑" w:hAnsi="微软雅黑"/>
        </w:rPr>
        <w:t>窗地比</w:t>
      </w:r>
      <w:bookmarkEnd w:id="40"/>
      <w:r>
        <w:rPr>
          <w:rFonts w:hint="eastAsia" w:ascii="微软雅黑" w:hAnsi="微软雅黑"/>
        </w:rPr>
        <w:t>结果</w:t>
      </w:r>
      <w:bookmarkEnd w:id="4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软件对</w:t>
      </w:r>
      <w:r>
        <w:rPr>
          <w:lang w:val="en-US"/>
        </w:rPr>
        <w:t>标准要求的功能房间</w:t>
      </w:r>
      <w:r>
        <w:rPr>
          <w:rFonts w:hint="eastAsia"/>
          <w:lang w:val="en-US"/>
        </w:rPr>
        <w:t>中</w:t>
      </w:r>
      <w:r>
        <w:rPr>
          <w:lang w:val="en-US"/>
        </w:rPr>
        <w:t>的窗面积和</w:t>
      </w:r>
      <w:r>
        <w:rPr>
          <w:rFonts w:hint="eastAsia"/>
          <w:lang w:val="en-US"/>
        </w:rPr>
        <w:t>房间</w:t>
      </w:r>
      <w:r>
        <w:rPr>
          <w:lang w:val="en-US"/>
        </w:rPr>
        <w:t>地</w:t>
      </w:r>
      <w:r>
        <w:rPr>
          <w:rFonts w:hint="eastAsia"/>
          <w:lang w:val="en-US"/>
        </w:rPr>
        <w:t>面</w:t>
      </w:r>
      <w:r>
        <w:rPr>
          <w:lang w:val="en-US"/>
        </w:rPr>
        <w:t>面积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，</w:t>
      </w:r>
      <w:r>
        <w:rPr>
          <w:lang w:val="en-US"/>
        </w:rPr>
        <w:t>对窗地比进行计算</w:t>
      </w:r>
      <w:r>
        <w:rPr>
          <w:rFonts w:hint="eastAsia"/>
          <w:lang w:val="en-US"/>
        </w:rPr>
        <w:t>。</w:t>
      </w:r>
    </w:p>
    <w:tbl>
      <w:tblPr>
        <w:tblStyle w:val="19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736"/>
        <w:gridCol w:w="84"/>
        <w:gridCol w:w="820"/>
        <w:gridCol w:w="539"/>
        <w:gridCol w:w="519"/>
        <w:gridCol w:w="924"/>
        <w:gridCol w:w="38"/>
        <w:gridCol w:w="1216"/>
        <w:gridCol w:w="245"/>
        <w:gridCol w:w="971"/>
        <w:gridCol w:w="1060"/>
        <w:gridCol w:w="156"/>
        <w:gridCol w:w="1341"/>
        <w:gridCol w:w="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82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户型</w:t>
            </w:r>
          </w:p>
        </w:tc>
        <w:tc>
          <w:tcPr>
            <w:tcW w:w="820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1058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tcW w:w="1216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</w:t>
            </w:r>
            <w:r>
              <w:br w:type="textWrapping"/>
            </w:r>
            <w:r>
              <w:t>Ac（㎡）</w:t>
            </w:r>
          </w:p>
        </w:tc>
        <w:tc>
          <w:tcPr>
            <w:tcW w:w="1216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地面积</w:t>
            </w:r>
            <w:r>
              <w:br w:type="textWrapping"/>
            </w:r>
            <w:r>
              <w:t>Ad（㎡）</w:t>
            </w:r>
          </w:p>
        </w:tc>
        <w:tc>
          <w:tcPr>
            <w:tcW w:w="1216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  <w:r>
              <w:br w:type="textWrapping"/>
            </w:r>
            <w:r>
              <w:t>Ac/Ad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1-A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2.79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12.04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0.232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9.18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0.229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1.96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7.98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0.246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1-B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3.57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11.22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0.318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2.33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8.91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0.261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1017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1.68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4.94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0.340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1-C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3.57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11.22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0.318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2.32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8.91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0.261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1018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1.68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4.94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0.340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1-D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2.79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12.04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0.232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9.18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0.229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1.96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7.98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0.246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8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1-E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5.35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19.37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2.79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11.90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0.234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9.20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1.96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7.96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0.246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1-G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3.57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11.10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0.321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2.33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8.91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0.261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1.68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4.94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0.340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1-H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5.35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19.37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2.79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11.90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0.234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9.20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2016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1.96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7.96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0.246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1-N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3.57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11.10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0.321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2.33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8.91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0.261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2019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1.68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4.94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0.340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3~18</w:t>
            </w:r>
          </w:p>
        </w:tc>
        <w:tc>
          <w:tcPr>
            <w:tcW w:w="8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1-J@3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2005@3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2.79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11.90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0.234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2012@3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9.20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2015@3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1.96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7.96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0.246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3001@3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5.35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19.37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1-K@3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2013@3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2.33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8.91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0.261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2019@3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1.68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4.94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0.340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3002@3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3.57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11.10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0.321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1-L@3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2014@3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2.33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8.91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0.261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2020@3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1.68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4.94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0.340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3003@3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3.57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11.10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0.321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1-M@3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2006@3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2.79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11.90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0.234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2011@3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9.20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2016@3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1.96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7.96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0.246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  <w:r>
              <w:t>3004@3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t>5.35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19.37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</w:pPr>
            <w:r>
              <w:t>0.276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≥0.200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gridSpan w:val="2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443" w:type="dxa"/>
            <w:gridSpan w:val="3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采光类型</w:t>
            </w:r>
          </w:p>
        </w:tc>
        <w:tc>
          <w:tcPr>
            <w:tcW w:w="1443" w:type="dxa"/>
            <w:gridSpan w:val="2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tcW w:w="5029" w:type="dxa"/>
            <w:gridSpan w:val="8"/>
            <w:shd w:val="clear" w:color="auto" w:fill="E6E6E6"/>
            <w:vAlign w:val="center"/>
          </w:tcPr>
          <w:p>
            <w:pPr>
              <w:jc w:val="center"/>
            </w:pPr>
            <w:r>
              <w:t>区间内房间数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gridSpan w:val="2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gridSpan w:val="3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gridSpan w:val="2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Ac/Ad＜1/6*K</w:t>
            </w:r>
          </w:p>
        </w:tc>
        <w:tc>
          <w:tcPr>
            <w:tcW w:w="2031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1/6*K＜Ac/Ad≤1/5*K</w:t>
            </w:r>
          </w:p>
        </w:tc>
        <w:tc>
          <w:tcPr>
            <w:tcW w:w="1499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1/5*K≤Ac/Ad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gridSpan w:val="2"/>
            <w:vAlign w:val="center"/>
          </w:tcPr>
          <w:p>
            <w:r>
              <w:t>起居室</w:t>
            </w:r>
          </w:p>
        </w:tc>
        <w:tc>
          <w:tcPr>
            <w:tcW w:w="1443" w:type="dxa"/>
            <w:gridSpan w:val="3"/>
            <w:vAlign w:val="center"/>
          </w:tcPr>
          <w:p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>
            <w:r>
              <w:t>72</w:t>
            </w:r>
          </w:p>
        </w:tc>
        <w:tc>
          <w:tcPr>
            <w:tcW w:w="1499" w:type="dxa"/>
            <w:gridSpan w:val="3"/>
            <w:vAlign w:val="center"/>
          </w:tcPr>
          <w:p>
            <w:r>
              <w:t>0</w:t>
            </w:r>
          </w:p>
        </w:tc>
        <w:tc>
          <w:tcPr>
            <w:tcW w:w="2031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1499" w:type="dxa"/>
            <w:gridSpan w:val="3"/>
            <w:vAlign w:val="center"/>
          </w:tcPr>
          <w:p>
            <w:r>
              <w:t>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gridSpan w:val="2"/>
            <w:vAlign w:val="center"/>
          </w:tcPr>
          <w:p>
            <w:r>
              <w:t>卧室</w:t>
            </w:r>
          </w:p>
        </w:tc>
        <w:tc>
          <w:tcPr>
            <w:tcW w:w="1443" w:type="dxa"/>
            <w:gridSpan w:val="3"/>
            <w:vAlign w:val="center"/>
          </w:tcPr>
          <w:p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>
            <w:r>
              <w:t>178</w:t>
            </w:r>
          </w:p>
        </w:tc>
        <w:tc>
          <w:tcPr>
            <w:tcW w:w="1499" w:type="dxa"/>
            <w:gridSpan w:val="3"/>
            <w:vAlign w:val="center"/>
          </w:tcPr>
          <w:p>
            <w:r>
              <w:t>0</w:t>
            </w:r>
          </w:p>
        </w:tc>
        <w:tc>
          <w:tcPr>
            <w:tcW w:w="2031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1499" w:type="dxa"/>
            <w:gridSpan w:val="3"/>
            <w:vAlign w:val="center"/>
          </w:tcPr>
          <w:p>
            <w:r>
              <w:t>178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443" w:type="dxa"/>
            <w:gridSpan w:val="2"/>
            <w:vAlign w:val="center"/>
          </w:tcPr>
          <w:p>
            <w:r>
              <w:t>250</w:t>
            </w:r>
          </w:p>
        </w:tc>
        <w:tc>
          <w:tcPr>
            <w:tcW w:w="1499" w:type="dxa"/>
            <w:gridSpan w:val="3"/>
            <w:vAlign w:val="center"/>
          </w:tcPr>
          <w:p>
            <w:r>
              <w:t>0</w:t>
            </w:r>
          </w:p>
        </w:tc>
        <w:tc>
          <w:tcPr>
            <w:tcW w:w="2031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1499" w:type="dxa"/>
            <w:gridSpan w:val="3"/>
            <w:vAlign w:val="center"/>
          </w:tcPr>
          <w:p>
            <w:r>
              <w:t>250</w:t>
            </w:r>
          </w:p>
        </w:tc>
      </w:tr>
    </w:tbl>
    <w:p>
      <w:pPr>
        <w:rPr>
          <w:szCs w:val="18"/>
          <w:lang w:val="en-US"/>
        </w:rPr>
      </w:pPr>
      <w:bookmarkStart w:id="42" w:name="绿标窗地比"/>
      <w:bookmarkEnd w:id="42"/>
    </w:p>
    <w:p>
      <w:pPr>
        <w:pStyle w:val="3"/>
        <w:ind w:firstLine="420"/>
        <w:rPr>
          <w:lang w:val="en-US"/>
        </w:rPr>
      </w:pPr>
    </w:p>
    <w:p>
      <w:pPr>
        <w:pStyle w:val="2"/>
        <w:ind w:left="432" w:hanging="432"/>
      </w:pPr>
      <w:bookmarkStart w:id="43" w:name="_Toc32302"/>
      <w:r>
        <w:rPr>
          <w:rFonts w:hint="eastAsia"/>
        </w:rPr>
        <w:t>评价结论</w:t>
      </w:r>
      <w:bookmarkEnd w:id="43"/>
    </w:p>
    <w:p>
      <w:pPr>
        <w:pStyle w:val="3"/>
        <w:ind w:firstLine="420" w:firstLineChars="200"/>
      </w:pPr>
      <w:r>
        <w:t>根据《绿色建筑评价标准》GB/T 50378-2014的8.2.6条款</w:t>
      </w:r>
      <w:r>
        <w:rPr>
          <w:rFonts w:hint="eastAsia"/>
        </w:rPr>
        <w:t>要求</w:t>
      </w:r>
      <w:r>
        <w:t>，</w:t>
      </w:r>
      <w:r>
        <w:rPr>
          <w:rFonts w:hint="eastAsia"/>
        </w:rPr>
        <w:t>对</w:t>
      </w:r>
      <w:r>
        <w:t>该居住建筑主要功能房间窗地面积比</w:t>
      </w:r>
      <w:r>
        <w:rPr>
          <w:rFonts w:hint="eastAsia"/>
        </w:rPr>
        <w:t>情况进行</w:t>
      </w:r>
      <w:r>
        <w:t>分析，评价</w:t>
      </w:r>
      <w:r>
        <w:rPr>
          <w:rFonts w:hint="eastAsia"/>
        </w:rPr>
        <w:t>结果</w:t>
      </w:r>
      <w:r>
        <w:t>如下：</w:t>
      </w:r>
    </w:p>
    <w:tbl>
      <w:tblPr>
        <w:tblStyle w:val="19"/>
        <w:tblW w:w="928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842"/>
        <w:gridCol w:w="2552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rPr>
                <w:kern w:val="2"/>
                <w:szCs w:val="22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62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rPr>
                <w:kern w:val="2"/>
                <w:szCs w:val="22"/>
              </w:rPr>
            </w:pPr>
            <w:r>
              <w:rPr>
                <w:rFonts w:hint="eastAsia"/>
              </w:rPr>
              <w:t>区间内房间数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kern w:val="2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rPr>
                <w:kern w:val="2"/>
                <w:szCs w:val="22"/>
              </w:rPr>
            </w:pPr>
            <w:bookmarkStart w:id="44" w:name="窗地比区间1"/>
            <w:r>
              <w:rPr>
                <w:rFonts w:hint="eastAsia"/>
              </w:rPr>
              <w:t>Ac/Ad＜1/6*K</w:t>
            </w:r>
            <w:bookmarkEnd w:id="44"/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rPr>
                <w:kern w:val="2"/>
                <w:szCs w:val="22"/>
              </w:rPr>
            </w:pPr>
            <w:bookmarkStart w:id="45" w:name="窗地比区间2"/>
            <w:r>
              <w:t>1/6*K＜Ac/Ad≤1/5*K</w:t>
            </w:r>
            <w:bookmarkEnd w:id="45"/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rPr>
                <w:kern w:val="2"/>
                <w:szCs w:val="22"/>
              </w:rPr>
            </w:pPr>
            <w:bookmarkStart w:id="46" w:name="窗地比区间3"/>
            <w:r>
              <w:t>1/5*K≤Ac/Ad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kern w:val="2"/>
                <w:szCs w:val="22"/>
              </w:rPr>
            </w:pPr>
            <w:r>
              <w:rPr>
                <w:rFonts w:hint="eastAsia"/>
              </w:rPr>
              <w:t>房间数量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kern w:val="2"/>
                <w:szCs w:val="22"/>
              </w:rPr>
            </w:pPr>
            <w:bookmarkStart w:id="47" w:name="窗地比区间1房间数"/>
            <w:r>
              <w:rPr>
                <w:rFonts w:hint="eastAsia"/>
              </w:rPr>
              <w:t>0</w:t>
            </w:r>
            <w:bookmarkEnd w:id="47"/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kern w:val="2"/>
                <w:szCs w:val="22"/>
              </w:rPr>
            </w:pPr>
            <w:bookmarkStart w:id="48" w:name="窗地比区间2房间数"/>
            <w:r>
              <w:rPr>
                <w:rFonts w:hint="eastAsia"/>
              </w:rPr>
              <w:t>0</w:t>
            </w:r>
            <w:bookmarkEnd w:id="48"/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kern w:val="2"/>
                <w:szCs w:val="22"/>
              </w:rPr>
            </w:pPr>
            <w:bookmarkStart w:id="49" w:name="窗地比区间3房间数"/>
            <w:r>
              <w:rPr>
                <w:rFonts w:hint="eastAsia"/>
              </w:rPr>
              <w:t>250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得分</w:t>
            </w:r>
          </w:p>
        </w:tc>
        <w:tc>
          <w:tcPr>
            <w:tcW w:w="6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bookmarkStart w:id="50" w:name="窗地比得分"/>
            <w:r>
              <w:rPr>
                <w:rFonts w:hint="eastAsia"/>
              </w:rPr>
              <w:t>8</w:t>
            </w:r>
            <w:bookmarkEnd w:id="50"/>
            <w:r>
              <w:rPr>
                <w:rFonts w:hint="eastAsia"/>
              </w:rPr>
              <w:t>分</w:t>
            </w:r>
          </w:p>
        </w:tc>
      </w:tr>
    </w:tbl>
    <w:p>
      <w:pPr>
        <w:pStyle w:val="3"/>
        <w:spacing w:line="360" w:lineRule="auto"/>
        <w:outlineLvl w:val="0"/>
        <w:rPr>
          <w:rFonts w:ascii="宋体" w:hAnsi="宋体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enter" w:pos="4535"/>
        <w:tab w:val="right" w:pos="9070"/>
        <w:tab w:val="clear" w:pos="4153"/>
        <w:tab w:val="clear" w:pos="8306"/>
      </w:tabs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5</w:t>
    </w:r>
    <w:r>
      <w:fldChar w:fldCharType="end"/>
    </w:r>
    <w:r>
      <w:tab/>
    </w:r>
    <w:r>
      <w:t>Dali202</w:t>
    </w:r>
    <w:r>
      <w:rPr>
        <w:rFonts w:hint="eastAsia"/>
      </w:rPr>
      <w:t>2</w:t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single" w:color="auto" w:sz="6" w:space="2"/>
      </w:pBdr>
      <w:jc w:val="left"/>
    </w:pPr>
    <w:r>
      <w:rPr>
        <w:lang w:val="en-US"/>
      </w:rPr>
      <w:drawing>
        <wp:inline distT="0" distB="0" distL="114300" distR="114300">
          <wp:extent cx="977900" cy="255270"/>
          <wp:effectExtent l="0" t="0" r="12700" b="1143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90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       </w:t>
    </w:r>
    <w:r>
      <w:rPr>
        <w:rFonts w:hint="eastAsia"/>
      </w:rPr>
      <w:t>居住</w:t>
    </w:r>
    <w:r>
      <w:t>建筑窗地面积</w:t>
    </w:r>
    <w:r>
      <w:rPr>
        <w:rFonts w:hint="eastAsia"/>
      </w:rPr>
      <w:t>比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17B47F0B"/>
    <w:multiLevelType w:val="multilevel"/>
    <w:tmpl w:val="17B47F0B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5CF318B"/>
    <w:multiLevelType w:val="multilevel"/>
    <w:tmpl w:val="55CF318B"/>
    <w:lvl w:ilvl="0" w:tentative="0">
      <w:start w:val="1"/>
      <w:numFmt w:val="bullet"/>
      <w:lvlText w:val="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D2CC2"/>
    <w:rsid w:val="00022F54"/>
    <w:rsid w:val="00022FE4"/>
    <w:rsid w:val="0003015C"/>
    <w:rsid w:val="0003718D"/>
    <w:rsid w:val="00037A4C"/>
    <w:rsid w:val="000431C3"/>
    <w:rsid w:val="00045796"/>
    <w:rsid w:val="00047BEF"/>
    <w:rsid w:val="00047D27"/>
    <w:rsid w:val="00060BD8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9772D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E3005"/>
    <w:rsid w:val="000F1573"/>
    <w:rsid w:val="000F48FD"/>
    <w:rsid w:val="000F7EF2"/>
    <w:rsid w:val="000F7FEF"/>
    <w:rsid w:val="00101764"/>
    <w:rsid w:val="0010266A"/>
    <w:rsid w:val="001037D7"/>
    <w:rsid w:val="00105DF2"/>
    <w:rsid w:val="001104AC"/>
    <w:rsid w:val="00110A51"/>
    <w:rsid w:val="00111340"/>
    <w:rsid w:val="00112680"/>
    <w:rsid w:val="001146C5"/>
    <w:rsid w:val="00117919"/>
    <w:rsid w:val="00122AE1"/>
    <w:rsid w:val="00136510"/>
    <w:rsid w:val="00141170"/>
    <w:rsid w:val="00145EBC"/>
    <w:rsid w:val="00145FA8"/>
    <w:rsid w:val="001463F5"/>
    <w:rsid w:val="0014776A"/>
    <w:rsid w:val="00150077"/>
    <w:rsid w:val="001511F2"/>
    <w:rsid w:val="00152AD1"/>
    <w:rsid w:val="001549CD"/>
    <w:rsid w:val="00170E95"/>
    <w:rsid w:val="0017134B"/>
    <w:rsid w:val="00180509"/>
    <w:rsid w:val="00180537"/>
    <w:rsid w:val="001811B7"/>
    <w:rsid w:val="00191705"/>
    <w:rsid w:val="00195963"/>
    <w:rsid w:val="001A213A"/>
    <w:rsid w:val="001A3A15"/>
    <w:rsid w:val="001A47EB"/>
    <w:rsid w:val="001B3E00"/>
    <w:rsid w:val="001B6E89"/>
    <w:rsid w:val="001D49B5"/>
    <w:rsid w:val="001D7C6B"/>
    <w:rsid w:val="001E049F"/>
    <w:rsid w:val="001E157B"/>
    <w:rsid w:val="001E32B4"/>
    <w:rsid w:val="002005F2"/>
    <w:rsid w:val="00201BD9"/>
    <w:rsid w:val="002038AE"/>
    <w:rsid w:val="00203A7D"/>
    <w:rsid w:val="00204341"/>
    <w:rsid w:val="00204D80"/>
    <w:rsid w:val="0022062D"/>
    <w:rsid w:val="002229C1"/>
    <w:rsid w:val="00224948"/>
    <w:rsid w:val="00241D4E"/>
    <w:rsid w:val="00242864"/>
    <w:rsid w:val="002442BB"/>
    <w:rsid w:val="00244792"/>
    <w:rsid w:val="0025362B"/>
    <w:rsid w:val="002555B8"/>
    <w:rsid w:val="00262B68"/>
    <w:rsid w:val="0027073D"/>
    <w:rsid w:val="00283BF0"/>
    <w:rsid w:val="002933AC"/>
    <w:rsid w:val="00294F67"/>
    <w:rsid w:val="00294F7E"/>
    <w:rsid w:val="002A2F2E"/>
    <w:rsid w:val="002A3037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D9E"/>
    <w:rsid w:val="0035421F"/>
    <w:rsid w:val="00355840"/>
    <w:rsid w:val="00356224"/>
    <w:rsid w:val="0036330B"/>
    <w:rsid w:val="003642AC"/>
    <w:rsid w:val="00370E69"/>
    <w:rsid w:val="00380AAF"/>
    <w:rsid w:val="00390063"/>
    <w:rsid w:val="00390296"/>
    <w:rsid w:val="00391613"/>
    <w:rsid w:val="00393106"/>
    <w:rsid w:val="003964EA"/>
    <w:rsid w:val="003A2B52"/>
    <w:rsid w:val="003A2CE1"/>
    <w:rsid w:val="003A3E76"/>
    <w:rsid w:val="003A5353"/>
    <w:rsid w:val="003B1331"/>
    <w:rsid w:val="003C056D"/>
    <w:rsid w:val="003C5FD5"/>
    <w:rsid w:val="003C61FC"/>
    <w:rsid w:val="003D0076"/>
    <w:rsid w:val="003D07EF"/>
    <w:rsid w:val="003D11B4"/>
    <w:rsid w:val="003D1FC7"/>
    <w:rsid w:val="003D5C64"/>
    <w:rsid w:val="003F27D2"/>
    <w:rsid w:val="003F60B9"/>
    <w:rsid w:val="003F66A9"/>
    <w:rsid w:val="00400053"/>
    <w:rsid w:val="0040698B"/>
    <w:rsid w:val="00406B01"/>
    <w:rsid w:val="00413082"/>
    <w:rsid w:val="004140D8"/>
    <w:rsid w:val="00420487"/>
    <w:rsid w:val="00420DBF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54EC9"/>
    <w:rsid w:val="00455D17"/>
    <w:rsid w:val="0047172C"/>
    <w:rsid w:val="004732C6"/>
    <w:rsid w:val="0047512A"/>
    <w:rsid w:val="004839C8"/>
    <w:rsid w:val="00486B69"/>
    <w:rsid w:val="00486F6E"/>
    <w:rsid w:val="0049058C"/>
    <w:rsid w:val="00492A5F"/>
    <w:rsid w:val="004A008B"/>
    <w:rsid w:val="004A5301"/>
    <w:rsid w:val="004D230F"/>
    <w:rsid w:val="004D239D"/>
    <w:rsid w:val="004D449D"/>
    <w:rsid w:val="004D4831"/>
    <w:rsid w:val="004E320A"/>
    <w:rsid w:val="004E5DEA"/>
    <w:rsid w:val="004F181A"/>
    <w:rsid w:val="004F2B43"/>
    <w:rsid w:val="00504F54"/>
    <w:rsid w:val="005051EB"/>
    <w:rsid w:val="00507065"/>
    <w:rsid w:val="0051542F"/>
    <w:rsid w:val="0051646C"/>
    <w:rsid w:val="005215FB"/>
    <w:rsid w:val="00521623"/>
    <w:rsid w:val="00525FEB"/>
    <w:rsid w:val="00531BC0"/>
    <w:rsid w:val="00540B17"/>
    <w:rsid w:val="0054304B"/>
    <w:rsid w:val="005430C1"/>
    <w:rsid w:val="005438CC"/>
    <w:rsid w:val="005449BD"/>
    <w:rsid w:val="00547052"/>
    <w:rsid w:val="00553946"/>
    <w:rsid w:val="00555634"/>
    <w:rsid w:val="00555EF2"/>
    <w:rsid w:val="00560CD5"/>
    <w:rsid w:val="00562B4A"/>
    <w:rsid w:val="00567DFC"/>
    <w:rsid w:val="00570A92"/>
    <w:rsid w:val="005755BA"/>
    <w:rsid w:val="00580CDE"/>
    <w:rsid w:val="00584084"/>
    <w:rsid w:val="00591D7B"/>
    <w:rsid w:val="005927FC"/>
    <w:rsid w:val="00594914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85C"/>
    <w:rsid w:val="00603BD9"/>
    <w:rsid w:val="0061137B"/>
    <w:rsid w:val="00611A83"/>
    <w:rsid w:val="006142C8"/>
    <w:rsid w:val="00616D08"/>
    <w:rsid w:val="00617087"/>
    <w:rsid w:val="006170E1"/>
    <w:rsid w:val="00617F56"/>
    <w:rsid w:val="0062034E"/>
    <w:rsid w:val="0062232E"/>
    <w:rsid w:val="006240DC"/>
    <w:rsid w:val="00652934"/>
    <w:rsid w:val="006544F4"/>
    <w:rsid w:val="006677F4"/>
    <w:rsid w:val="00670B60"/>
    <w:rsid w:val="0067635E"/>
    <w:rsid w:val="00681C5E"/>
    <w:rsid w:val="00683C72"/>
    <w:rsid w:val="00691729"/>
    <w:rsid w:val="00694FCA"/>
    <w:rsid w:val="00696156"/>
    <w:rsid w:val="006B628D"/>
    <w:rsid w:val="006C2054"/>
    <w:rsid w:val="006C31C0"/>
    <w:rsid w:val="006E124F"/>
    <w:rsid w:val="006E2DB9"/>
    <w:rsid w:val="006E4125"/>
    <w:rsid w:val="006F1E82"/>
    <w:rsid w:val="006F480A"/>
    <w:rsid w:val="006F6958"/>
    <w:rsid w:val="0070016E"/>
    <w:rsid w:val="00700961"/>
    <w:rsid w:val="00704059"/>
    <w:rsid w:val="007100B1"/>
    <w:rsid w:val="00710AAA"/>
    <w:rsid w:val="00716859"/>
    <w:rsid w:val="00720044"/>
    <w:rsid w:val="00720CD9"/>
    <w:rsid w:val="00722CF6"/>
    <w:rsid w:val="007250A6"/>
    <w:rsid w:val="0074389B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324F"/>
    <w:rsid w:val="007D2688"/>
    <w:rsid w:val="007E0DA0"/>
    <w:rsid w:val="007E39A8"/>
    <w:rsid w:val="007E3D1F"/>
    <w:rsid w:val="007F09EA"/>
    <w:rsid w:val="007F4E56"/>
    <w:rsid w:val="00800F96"/>
    <w:rsid w:val="00801632"/>
    <w:rsid w:val="008060C3"/>
    <w:rsid w:val="00806523"/>
    <w:rsid w:val="00810B33"/>
    <w:rsid w:val="00815480"/>
    <w:rsid w:val="0083639A"/>
    <w:rsid w:val="00837670"/>
    <w:rsid w:val="00840D90"/>
    <w:rsid w:val="008439F8"/>
    <w:rsid w:val="00850136"/>
    <w:rsid w:val="0085014F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06259"/>
    <w:rsid w:val="00925FCF"/>
    <w:rsid w:val="009363FF"/>
    <w:rsid w:val="0095123C"/>
    <w:rsid w:val="0096074B"/>
    <w:rsid w:val="00965A34"/>
    <w:rsid w:val="00973452"/>
    <w:rsid w:val="00975F79"/>
    <w:rsid w:val="0098285F"/>
    <w:rsid w:val="00990F63"/>
    <w:rsid w:val="00991801"/>
    <w:rsid w:val="00992A94"/>
    <w:rsid w:val="00993CF2"/>
    <w:rsid w:val="009A15B5"/>
    <w:rsid w:val="009A1EA3"/>
    <w:rsid w:val="009A6B0F"/>
    <w:rsid w:val="009B0C40"/>
    <w:rsid w:val="009C4AE6"/>
    <w:rsid w:val="009D244A"/>
    <w:rsid w:val="009D4733"/>
    <w:rsid w:val="009D57E6"/>
    <w:rsid w:val="009D5AAC"/>
    <w:rsid w:val="009E6B81"/>
    <w:rsid w:val="009E75F0"/>
    <w:rsid w:val="009F5016"/>
    <w:rsid w:val="009F5A35"/>
    <w:rsid w:val="009F7C95"/>
    <w:rsid w:val="00A0525F"/>
    <w:rsid w:val="00A12783"/>
    <w:rsid w:val="00A177A6"/>
    <w:rsid w:val="00A32590"/>
    <w:rsid w:val="00A355BD"/>
    <w:rsid w:val="00A357F7"/>
    <w:rsid w:val="00A47443"/>
    <w:rsid w:val="00A47585"/>
    <w:rsid w:val="00A57E38"/>
    <w:rsid w:val="00A60B63"/>
    <w:rsid w:val="00A61068"/>
    <w:rsid w:val="00A6289C"/>
    <w:rsid w:val="00A71CD3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D0888"/>
    <w:rsid w:val="00AD520D"/>
    <w:rsid w:val="00AE206F"/>
    <w:rsid w:val="00AF050E"/>
    <w:rsid w:val="00AF0542"/>
    <w:rsid w:val="00AF06AD"/>
    <w:rsid w:val="00B00FFB"/>
    <w:rsid w:val="00B049EF"/>
    <w:rsid w:val="00B11FD8"/>
    <w:rsid w:val="00B157BB"/>
    <w:rsid w:val="00B3131F"/>
    <w:rsid w:val="00B364B6"/>
    <w:rsid w:val="00B41640"/>
    <w:rsid w:val="00B55B22"/>
    <w:rsid w:val="00B60841"/>
    <w:rsid w:val="00B70998"/>
    <w:rsid w:val="00B774E4"/>
    <w:rsid w:val="00B85735"/>
    <w:rsid w:val="00B86B1C"/>
    <w:rsid w:val="00B950DF"/>
    <w:rsid w:val="00BA12CD"/>
    <w:rsid w:val="00BA4C10"/>
    <w:rsid w:val="00BB3B23"/>
    <w:rsid w:val="00BB64F7"/>
    <w:rsid w:val="00BD47A9"/>
    <w:rsid w:val="00BD693F"/>
    <w:rsid w:val="00BD7DD2"/>
    <w:rsid w:val="00BE118E"/>
    <w:rsid w:val="00BE18AD"/>
    <w:rsid w:val="00BE4583"/>
    <w:rsid w:val="00BF3074"/>
    <w:rsid w:val="00BF5975"/>
    <w:rsid w:val="00C00992"/>
    <w:rsid w:val="00C02ABE"/>
    <w:rsid w:val="00C127CA"/>
    <w:rsid w:val="00C257AB"/>
    <w:rsid w:val="00C3168B"/>
    <w:rsid w:val="00C31D17"/>
    <w:rsid w:val="00C33D67"/>
    <w:rsid w:val="00C35E26"/>
    <w:rsid w:val="00C37F41"/>
    <w:rsid w:val="00C44808"/>
    <w:rsid w:val="00C45C1D"/>
    <w:rsid w:val="00C52CCB"/>
    <w:rsid w:val="00C56EF0"/>
    <w:rsid w:val="00C60B76"/>
    <w:rsid w:val="00C63237"/>
    <w:rsid w:val="00C67778"/>
    <w:rsid w:val="00C677CE"/>
    <w:rsid w:val="00C72CFF"/>
    <w:rsid w:val="00C8032E"/>
    <w:rsid w:val="00C832CC"/>
    <w:rsid w:val="00C851CF"/>
    <w:rsid w:val="00C85350"/>
    <w:rsid w:val="00C855E5"/>
    <w:rsid w:val="00C95C03"/>
    <w:rsid w:val="00C9765F"/>
    <w:rsid w:val="00C97E25"/>
    <w:rsid w:val="00CA7AE3"/>
    <w:rsid w:val="00CB6248"/>
    <w:rsid w:val="00CC196B"/>
    <w:rsid w:val="00CC6133"/>
    <w:rsid w:val="00CC74BC"/>
    <w:rsid w:val="00CD01C9"/>
    <w:rsid w:val="00CD4869"/>
    <w:rsid w:val="00CE28AA"/>
    <w:rsid w:val="00CE5E9D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2634"/>
    <w:rsid w:val="00D62A9A"/>
    <w:rsid w:val="00D65949"/>
    <w:rsid w:val="00D73139"/>
    <w:rsid w:val="00D74281"/>
    <w:rsid w:val="00D80C28"/>
    <w:rsid w:val="00D85296"/>
    <w:rsid w:val="00D85A78"/>
    <w:rsid w:val="00DA543D"/>
    <w:rsid w:val="00DB1F7E"/>
    <w:rsid w:val="00DB29C3"/>
    <w:rsid w:val="00DC08B7"/>
    <w:rsid w:val="00DC73AD"/>
    <w:rsid w:val="00DD33B1"/>
    <w:rsid w:val="00DD3C92"/>
    <w:rsid w:val="00DD56FC"/>
    <w:rsid w:val="00DE15EB"/>
    <w:rsid w:val="00DE39CD"/>
    <w:rsid w:val="00DE7EA5"/>
    <w:rsid w:val="00DF470C"/>
    <w:rsid w:val="00DF7D67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4572"/>
    <w:rsid w:val="00E278C1"/>
    <w:rsid w:val="00E341D6"/>
    <w:rsid w:val="00E34789"/>
    <w:rsid w:val="00E3796F"/>
    <w:rsid w:val="00E50FE4"/>
    <w:rsid w:val="00E55FF6"/>
    <w:rsid w:val="00E612BA"/>
    <w:rsid w:val="00E67432"/>
    <w:rsid w:val="00E71D63"/>
    <w:rsid w:val="00E75360"/>
    <w:rsid w:val="00E81ACD"/>
    <w:rsid w:val="00E9036A"/>
    <w:rsid w:val="00E93153"/>
    <w:rsid w:val="00E950A3"/>
    <w:rsid w:val="00EA30AE"/>
    <w:rsid w:val="00EB160E"/>
    <w:rsid w:val="00EB2565"/>
    <w:rsid w:val="00EB27DC"/>
    <w:rsid w:val="00EB450B"/>
    <w:rsid w:val="00EB65C7"/>
    <w:rsid w:val="00ED5D36"/>
    <w:rsid w:val="00ED5F4E"/>
    <w:rsid w:val="00EE0F57"/>
    <w:rsid w:val="00EF1307"/>
    <w:rsid w:val="00EF469A"/>
    <w:rsid w:val="00EF5D54"/>
    <w:rsid w:val="00F0062B"/>
    <w:rsid w:val="00F0686F"/>
    <w:rsid w:val="00F11B75"/>
    <w:rsid w:val="00F14F02"/>
    <w:rsid w:val="00F15E1F"/>
    <w:rsid w:val="00F20C9F"/>
    <w:rsid w:val="00F26211"/>
    <w:rsid w:val="00F27AD2"/>
    <w:rsid w:val="00F32066"/>
    <w:rsid w:val="00F34053"/>
    <w:rsid w:val="00F4109F"/>
    <w:rsid w:val="00F41E78"/>
    <w:rsid w:val="00F42DDB"/>
    <w:rsid w:val="00F51600"/>
    <w:rsid w:val="00F54AF7"/>
    <w:rsid w:val="00F6461B"/>
    <w:rsid w:val="00F6582C"/>
    <w:rsid w:val="00F66DC8"/>
    <w:rsid w:val="00F75DD1"/>
    <w:rsid w:val="00F82D7F"/>
    <w:rsid w:val="00F9138A"/>
    <w:rsid w:val="00F92266"/>
    <w:rsid w:val="00F959AF"/>
    <w:rsid w:val="00F972A6"/>
    <w:rsid w:val="00FA4B87"/>
    <w:rsid w:val="00FA5E92"/>
    <w:rsid w:val="00FB0817"/>
    <w:rsid w:val="00FB084F"/>
    <w:rsid w:val="00FB1375"/>
    <w:rsid w:val="00FB34D2"/>
    <w:rsid w:val="00FB688E"/>
    <w:rsid w:val="00FC5270"/>
    <w:rsid w:val="00FC7BC5"/>
    <w:rsid w:val="00FD0EF2"/>
    <w:rsid w:val="00FD44EE"/>
    <w:rsid w:val="00FE749C"/>
    <w:rsid w:val="00FF14DB"/>
    <w:rsid w:val="00FF2243"/>
    <w:rsid w:val="3C5D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微软雅黑" w:hAnsi="微软雅黑" w:eastAsia="微软雅黑" w:cs="Times New Roman"/>
      <w:sz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6</Pages>
  <Words>1664</Words>
  <Characters>2989</Characters>
  <Lines>14</Lines>
  <Paragraphs>4</Paragraphs>
  <TotalTime>22</TotalTime>
  <ScaleCrop>false</ScaleCrop>
  <LinksUpToDate>false</LinksUpToDate>
  <CharactersWithSpaces>3054</CharactersWithSpaces>
  <Application>WPS Office_11.8.6.8595_F1E327BC-269C-435d-A152-05C5408002CA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2022-01-07T08:51:00Z</dcterms:created>
  <dc:creator>我可是小老虎</dc:creator>
  <cp:lastModifiedBy>我可是小老虎</cp:lastModifiedBy>
  <dcterms:modified xsi:type="dcterms:W3CDTF">2022-01-07T09:14:36Z</dcterms:modified>
  <dc:title>地下室采光分析报告书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2052-11.8.6.8595</vt:lpwstr>
  </property>
</Properties>
</file>