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before="156" w:beforeLines="50" w:after="312" w:afterLines="100"/>
        <w:rPr>
          <w:sz w:val="36"/>
          <w:szCs w:val="36"/>
          <w:lang w:val="en-US"/>
        </w:rPr>
      </w:pPr>
      <w:r>
        <w:rPr>
          <w:rFonts w:hint="eastAsia"/>
          <w:sz w:val="36"/>
          <w:szCs w:val="36"/>
          <w:lang w:val="en-US"/>
        </w:rPr>
        <w:t>住宅建筑</w:t>
      </w:r>
    </w:p>
    <w:p>
      <w:pPr>
        <w:spacing w:line="180" w:lineRule="atLeast"/>
        <w:rPr>
          <w:rFonts w:ascii="宋体" w:hAnsi="宋体"/>
          <w:b/>
          <w:bCs/>
          <w:sz w:val="21"/>
          <w:szCs w:val="21"/>
          <w:lang w:val="en-US"/>
        </w:rPr>
      </w:pPr>
    </w:p>
    <w:tbl>
      <w:tblPr>
        <w:tblStyle w:val="20"/>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启新项目（C02地块）-201#楼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r>
              <w:t>MJ401</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r>
              <w:t>唐山盾石地产开发有限公司</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r>
              <w:t>北京建都设计研究院有限责任公司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2022年1月7日</w:t>
            </w:r>
            <w:bookmarkEnd w:id="6"/>
          </w:p>
        </w:tc>
      </w:tr>
    </w:tbl>
    <w:p>
      <w:pPr>
        <w:spacing w:line="240" w:lineRule="auto"/>
        <w:rPr>
          <w:rFonts w:ascii="宋体" w:hAnsi="宋体"/>
          <w:b/>
          <w:bCs/>
          <w:sz w:val="30"/>
          <w:szCs w:val="32"/>
        </w:rPr>
      </w:pPr>
    </w:p>
    <w:p>
      <w:pPr>
        <w:spacing w:line="240" w:lineRule="auto"/>
        <w:rPr>
          <w:rFonts w:ascii="宋体" w:hAnsi="宋体"/>
          <w:b/>
          <w:bCs/>
          <w:sz w:val="30"/>
          <w:szCs w:val="32"/>
        </w:rPr>
      </w:pPr>
      <w:bookmarkStart w:id="7" w:name="二维码"/>
      <w:bookmarkEnd w:id="7"/>
      <w:r>
        <w:drawing>
          <wp:inline distT="0" distB="0" distL="0" distR="0">
            <wp:extent cx="2324100" cy="23241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spacing w:line="240" w:lineRule="auto"/>
        <w:rPr>
          <w:rFonts w:ascii="宋体" w:hAnsi="宋体"/>
          <w:b/>
          <w:bCs/>
          <w:sz w:val="30"/>
          <w:szCs w:val="32"/>
        </w:rPr>
      </w:pPr>
    </w:p>
    <w:tbl>
      <w:tblPr>
        <w:tblStyle w:val="20"/>
        <w:tblpPr w:leftFromText="180" w:rightFromText="180" w:vertAnchor="text" w:tblpXSpec="center" w:tblpY="1"/>
        <w:tblOverlap w:val="never"/>
        <w:tblW w:w="5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6"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rPr>
                <w:highlight w:val="yellow"/>
              </w:rP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2" w:hRule="exact"/>
        </w:trPr>
        <w:tc>
          <w:tcPr>
            <w:tcW w:w="1800" w:type="dxa"/>
            <w:shd w:val="clear" w:color="auto" w:fill="E6E6E6"/>
            <w:vAlign w:val="center"/>
          </w:tcPr>
          <w:p>
            <w:pPr>
              <w:pStyle w:val="3"/>
            </w:pPr>
            <w:r>
              <w:rPr>
                <w:rFonts w:hint="eastAsia"/>
              </w:rPr>
              <w:t>软件版本</w:t>
            </w:r>
          </w:p>
        </w:tc>
        <w:tc>
          <w:tcPr>
            <w:tcW w:w="3780" w:type="dxa"/>
            <w:vAlign w:val="center"/>
          </w:tcPr>
          <w:p>
            <w:pPr>
              <w:pStyle w:val="3"/>
              <w:jc w:val="center"/>
              <w:rPr>
                <w:highlight w:val="yellow"/>
              </w:rP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exact"/>
        </w:trPr>
        <w:tc>
          <w:tcPr>
            <w:tcW w:w="1800" w:type="dxa"/>
            <w:shd w:val="clear" w:color="auto" w:fill="E6E6E6"/>
            <w:vAlign w:val="center"/>
          </w:tcPr>
          <w:p>
            <w:pPr>
              <w:pStyle w:val="3"/>
            </w:pPr>
            <w:r>
              <w:rPr>
                <w:rFonts w:hint="eastAsia"/>
              </w:rPr>
              <w:t>研发单位</w:t>
            </w:r>
          </w:p>
        </w:tc>
        <w:tc>
          <w:tcPr>
            <w:tcW w:w="3780" w:type="dxa"/>
            <w:vAlign w:val="center"/>
          </w:tcPr>
          <w:p>
            <w:pPr>
              <w:pStyle w:val="3"/>
              <w:jc w:val="center"/>
              <w:rPr>
                <w:highlight w:val="yellow"/>
              </w:rPr>
            </w:pPr>
            <w:r>
              <w:rPr>
                <w:rFonts w:hint="eastAsia"/>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4" w:hRule="atLeast"/>
        </w:trPr>
        <w:tc>
          <w:tcPr>
            <w:tcW w:w="1800" w:type="dxa"/>
            <w:shd w:val="clear" w:color="auto" w:fill="E6E6E6"/>
            <w:vAlign w:val="center"/>
          </w:tcPr>
          <w:p>
            <w:pPr>
              <w:pStyle w:val="3"/>
            </w:pPr>
            <w:r>
              <w:rPr>
                <w:rFonts w:hint="eastAsia"/>
              </w:rPr>
              <w:t>正版授权码</w:t>
            </w:r>
          </w:p>
        </w:tc>
        <w:tc>
          <w:tcPr>
            <w:tcW w:w="3780" w:type="dxa"/>
            <w:shd w:val="clear" w:color="auto" w:fill="auto"/>
            <w:vAlign w:val="center"/>
          </w:tcPr>
          <w:p>
            <w:pPr>
              <w:pStyle w:val="3"/>
              <w:jc w:val="center"/>
              <w:rPr>
                <w:highlight w:val="yellow"/>
              </w:rPr>
            </w:pPr>
            <w:bookmarkStart w:id="10" w:name="正版授权码"/>
            <w:r>
              <w:t>P182EFA37</w:t>
            </w:r>
            <w:bookmarkEnd w:id="10"/>
          </w:p>
        </w:tc>
      </w:tr>
    </w:tbl>
    <w:p>
      <w:pPr>
        <w:pStyle w:val="2"/>
        <w:numPr>
          <w:ilvl w:val="0"/>
          <w:numId w:val="0"/>
        </w:numPr>
      </w:pPr>
    </w:p>
    <w:p>
      <w:pPr>
        <w:pStyle w:val="3"/>
        <w:ind w:firstLine="420"/>
        <w:rPr>
          <w:lang w:val="en-US"/>
        </w:rPr>
      </w:pPr>
    </w:p>
    <w:p>
      <w:pPr>
        <w:pStyle w:val="3"/>
        <w:ind w:firstLine="420"/>
        <w:rPr>
          <w:lang w:val="en-US"/>
        </w:rPr>
      </w:pPr>
    </w:p>
    <w:p>
      <w:pPr>
        <w:spacing w:line="240" w:lineRule="auto"/>
        <w:rPr>
          <w:sz w:val="21"/>
          <w:szCs w:val="21"/>
          <w:lang w:val="en-US"/>
        </w:rPr>
      </w:pPr>
      <w:r>
        <w:rPr>
          <w:sz w:val="21"/>
          <w:szCs w:val="21"/>
          <w:lang w:val="en-US"/>
        </w:rPr>
        <w:br w:type="page"/>
      </w:r>
    </w:p>
    <w:p>
      <w:pPr>
        <w:spacing w:line="240" w:lineRule="auto"/>
        <w:rPr>
          <w:lang w:val="en-US"/>
        </w:rPr>
      </w:pPr>
    </w:p>
    <w:p>
      <w:pPr>
        <w:spacing w:line="240" w:lineRule="auto"/>
        <w:rPr>
          <w:lang w:val="en-US"/>
        </w:rPr>
      </w:pPr>
      <w:bookmarkStart w:id="11"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9"/>
            <w:jc w:val="center"/>
            <w:rPr>
              <w:rFonts w:ascii="微软雅黑" w:hAnsi="微软雅黑" w:eastAsia="微软雅黑"/>
              <w:b/>
              <w:bCs/>
              <w:color w:val="auto"/>
            </w:rPr>
          </w:pPr>
          <w:r>
            <w:rPr>
              <w:rFonts w:ascii="微软雅黑" w:hAnsi="微软雅黑" w:eastAsia="微软雅黑"/>
              <w:b/>
              <w:bCs/>
              <w:color w:val="auto"/>
            </w:rPr>
            <w:t>目录</w:t>
          </w:r>
        </w:p>
        <w:p>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_Toc4028 </w:instrText>
          </w:r>
          <w:r>
            <w:rPr>
              <w:bCs w:val="0"/>
            </w:rPr>
            <w:fldChar w:fldCharType="separate"/>
          </w:r>
          <w:r>
            <w:rPr>
              <w:rFonts w:hint="eastAsia"/>
            </w:rPr>
            <w:t>1. 建筑概况</w:t>
          </w:r>
          <w:r>
            <w:tab/>
          </w:r>
          <w:r>
            <w:fldChar w:fldCharType="begin"/>
          </w:r>
          <w:r>
            <w:instrText xml:space="preserve"> PAGEREF _Toc4028 \h </w:instrText>
          </w:r>
          <w:r>
            <w:fldChar w:fldCharType="separate"/>
          </w:r>
          <w:r>
            <w:t>3</w:t>
          </w:r>
          <w:r>
            <w:fldChar w:fldCharType="end"/>
          </w:r>
          <w:r>
            <w:rPr>
              <w:bCs w:val="0"/>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_Toc23510 </w:instrText>
          </w:r>
          <w:r>
            <w:rPr>
              <w:bCs/>
              <w:kern w:val="2"/>
              <w:szCs w:val="24"/>
              <w:lang w:val="en-US"/>
            </w:rPr>
            <w:fldChar w:fldCharType="separate"/>
          </w:r>
          <w:r>
            <w:rPr>
              <w:rFonts w:hint="eastAsia"/>
            </w:rPr>
            <w:t>2. 设计依据</w:t>
          </w:r>
          <w:r>
            <w:tab/>
          </w:r>
          <w:r>
            <w:fldChar w:fldCharType="begin"/>
          </w:r>
          <w:r>
            <w:instrText xml:space="preserve"> PAGEREF _Toc23510 \h </w:instrText>
          </w:r>
          <w:r>
            <w:fldChar w:fldCharType="separate"/>
          </w:r>
          <w:r>
            <w:t>3</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_Toc17964 </w:instrText>
          </w:r>
          <w:r>
            <w:rPr>
              <w:bCs/>
              <w:kern w:val="2"/>
              <w:szCs w:val="24"/>
              <w:lang w:val="en-US"/>
            </w:rPr>
            <w:fldChar w:fldCharType="separate"/>
          </w:r>
          <w:r>
            <w:rPr>
              <w:rFonts w:hint="eastAsia"/>
            </w:rPr>
            <w:t>3. 计算</w:t>
          </w:r>
          <w:r>
            <w:t>目的</w:t>
          </w:r>
          <w:r>
            <w:tab/>
          </w:r>
          <w:r>
            <w:fldChar w:fldCharType="begin"/>
          </w:r>
          <w:r>
            <w:instrText xml:space="preserve"> PAGEREF _Toc17964 \h </w:instrText>
          </w:r>
          <w:r>
            <w:fldChar w:fldCharType="separate"/>
          </w:r>
          <w:r>
            <w:t>3</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_Toc5739 </w:instrText>
          </w:r>
          <w:r>
            <w:rPr>
              <w:bCs/>
              <w:kern w:val="2"/>
              <w:szCs w:val="24"/>
              <w:lang w:val="en-US"/>
            </w:rPr>
            <w:fldChar w:fldCharType="separate"/>
          </w:r>
          <w:r>
            <w:rPr>
              <w:rFonts w:hint="eastAsia"/>
            </w:rPr>
            <w:t>4. 标准要求</w:t>
          </w:r>
          <w:r>
            <w:tab/>
          </w:r>
          <w:r>
            <w:fldChar w:fldCharType="begin"/>
          </w:r>
          <w:r>
            <w:instrText xml:space="preserve"> PAGEREF _Toc5739 \h </w:instrText>
          </w:r>
          <w:r>
            <w:fldChar w:fldCharType="separate"/>
          </w:r>
          <w:r>
            <w:t>3</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_Toc18010 </w:instrText>
          </w:r>
          <w:r>
            <w:rPr>
              <w:bCs/>
              <w:kern w:val="2"/>
              <w:szCs w:val="24"/>
              <w:lang w:val="en-US"/>
            </w:rPr>
            <w:fldChar w:fldCharType="separate"/>
          </w:r>
          <w:r>
            <w:rPr>
              <w:rFonts w:hint="eastAsia"/>
            </w:rPr>
            <w:t>5. 采光分析</w:t>
          </w:r>
          <w:r>
            <w:t>概述</w:t>
          </w:r>
          <w:r>
            <w:tab/>
          </w:r>
          <w:r>
            <w:fldChar w:fldCharType="begin"/>
          </w:r>
          <w:r>
            <w:instrText xml:space="preserve"> PAGEREF _Toc18010 \h </w:instrText>
          </w:r>
          <w:r>
            <w:fldChar w:fldCharType="separate"/>
          </w:r>
          <w:r>
            <w:t>4</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_Toc10550 </w:instrText>
          </w:r>
          <w:r>
            <w:rPr>
              <w:bCs/>
              <w:kern w:val="2"/>
              <w:szCs w:val="24"/>
              <w:lang w:val="en-US"/>
            </w:rPr>
            <w:fldChar w:fldCharType="separate"/>
          </w:r>
          <w:r>
            <w:rPr>
              <w:rFonts w:hint="eastAsia"/>
              <w:lang w:val="en-GB"/>
            </w:rPr>
            <w:t xml:space="preserve">5.1 </w:t>
          </w:r>
          <w:r>
            <w:rPr>
              <w:rFonts w:hint="eastAsia"/>
            </w:rPr>
            <w:t>基本原理</w:t>
          </w:r>
          <w:r>
            <w:tab/>
          </w:r>
          <w:r>
            <w:fldChar w:fldCharType="begin"/>
          </w:r>
          <w:r>
            <w:instrText xml:space="preserve"> PAGEREF _Toc10550 \h </w:instrText>
          </w:r>
          <w:r>
            <w:fldChar w:fldCharType="separate"/>
          </w:r>
          <w:r>
            <w:t>4</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_Toc27291 </w:instrText>
          </w:r>
          <w:r>
            <w:rPr>
              <w:bCs/>
              <w:kern w:val="2"/>
              <w:szCs w:val="24"/>
              <w:lang w:val="en-US"/>
            </w:rPr>
            <w:fldChar w:fldCharType="separate"/>
          </w:r>
          <w:r>
            <w:rPr>
              <w:rFonts w:hint="eastAsia"/>
              <w:lang w:val="en-GB"/>
            </w:rPr>
            <w:t xml:space="preserve">5.2 </w:t>
          </w:r>
          <w:r>
            <w:t>分析软件</w:t>
          </w:r>
          <w:r>
            <w:tab/>
          </w:r>
          <w:r>
            <w:fldChar w:fldCharType="begin"/>
          </w:r>
          <w:r>
            <w:instrText xml:space="preserve"> PAGEREF _Toc27291 \h </w:instrText>
          </w:r>
          <w:r>
            <w:fldChar w:fldCharType="separate"/>
          </w:r>
          <w:r>
            <w:t>5</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_Toc25264 </w:instrText>
          </w:r>
          <w:r>
            <w:rPr>
              <w:bCs/>
              <w:kern w:val="2"/>
              <w:szCs w:val="24"/>
              <w:lang w:val="en-US"/>
            </w:rPr>
            <w:fldChar w:fldCharType="separate"/>
          </w:r>
          <w:r>
            <w:rPr>
              <w:rFonts w:hint="eastAsia"/>
              <w:lang w:val="en-GB"/>
            </w:rPr>
            <w:t xml:space="preserve">5.3 </w:t>
          </w:r>
          <w:r>
            <w:rPr>
              <w:rFonts w:hint="eastAsia"/>
            </w:rPr>
            <w:t>计算方法</w:t>
          </w:r>
          <w:r>
            <w:tab/>
          </w:r>
          <w:r>
            <w:fldChar w:fldCharType="begin"/>
          </w:r>
          <w:r>
            <w:instrText xml:space="preserve"> PAGEREF _Toc25264 \h </w:instrText>
          </w:r>
          <w:r>
            <w:fldChar w:fldCharType="separate"/>
          </w:r>
          <w:r>
            <w:t>5</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_Toc5906 </w:instrText>
          </w:r>
          <w:r>
            <w:rPr>
              <w:bCs/>
              <w:kern w:val="2"/>
              <w:szCs w:val="24"/>
              <w:lang w:val="en-US"/>
            </w:rPr>
            <w:fldChar w:fldCharType="separate"/>
          </w:r>
          <w:r>
            <w:rPr>
              <w:rFonts w:hint="eastAsia"/>
            </w:rPr>
            <w:t>6. 采光计算</w:t>
          </w:r>
          <w:r>
            <w:t>参数</w:t>
          </w:r>
          <w:r>
            <w:rPr>
              <w:rFonts w:hint="eastAsia"/>
            </w:rPr>
            <w:t>取值</w:t>
          </w:r>
          <w:r>
            <w:tab/>
          </w:r>
          <w:r>
            <w:fldChar w:fldCharType="begin"/>
          </w:r>
          <w:r>
            <w:instrText xml:space="preserve"> PAGEREF _Toc5906 \h </w:instrText>
          </w:r>
          <w:r>
            <w:fldChar w:fldCharType="separate"/>
          </w:r>
          <w:r>
            <w:t>6</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_Toc28606 </w:instrText>
          </w:r>
          <w:r>
            <w:rPr>
              <w:bCs/>
              <w:kern w:val="2"/>
              <w:szCs w:val="24"/>
              <w:lang w:val="en-US"/>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_Toc28606 \h </w:instrText>
          </w:r>
          <w:r>
            <w:fldChar w:fldCharType="separate"/>
          </w:r>
          <w:r>
            <w:t>6</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_Toc24881 </w:instrText>
          </w:r>
          <w:r>
            <w:rPr>
              <w:bCs/>
              <w:kern w:val="2"/>
              <w:szCs w:val="24"/>
              <w:lang w:val="en-US"/>
            </w:rPr>
            <w:fldChar w:fldCharType="separate"/>
          </w:r>
          <w:r>
            <w:rPr>
              <w:rFonts w:hint="eastAsia"/>
              <w:lang w:val="en-GB"/>
            </w:rPr>
            <w:t xml:space="preserve">6.2 </w:t>
          </w:r>
          <w:r>
            <w:rPr>
              <w:rFonts w:hint="eastAsia"/>
            </w:rPr>
            <w:t>建筑饰面材料参数</w:t>
          </w:r>
          <w:r>
            <w:tab/>
          </w:r>
          <w:r>
            <w:fldChar w:fldCharType="begin"/>
          </w:r>
          <w:r>
            <w:instrText xml:space="preserve"> PAGEREF _Toc24881 \h </w:instrText>
          </w:r>
          <w:r>
            <w:fldChar w:fldCharType="separate"/>
          </w:r>
          <w:r>
            <w:t>6</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_Toc17311 </w:instrText>
          </w:r>
          <w:r>
            <w:rPr>
              <w:bCs/>
              <w:kern w:val="2"/>
              <w:szCs w:val="24"/>
              <w:lang w:val="en-US"/>
            </w:rPr>
            <w:fldChar w:fldCharType="separate"/>
          </w:r>
          <w:r>
            <w:rPr>
              <w:rFonts w:hint="eastAsia"/>
              <w:lang w:val="en-GB"/>
            </w:rPr>
            <w:t xml:space="preserve">6.3 </w:t>
          </w:r>
          <w:r>
            <w:rPr>
              <w:rFonts w:hint="eastAsia"/>
            </w:rPr>
            <w:t>门窗类型参数</w:t>
          </w:r>
          <w:r>
            <w:tab/>
          </w:r>
          <w:r>
            <w:fldChar w:fldCharType="begin"/>
          </w:r>
          <w:r>
            <w:instrText xml:space="preserve"> PAGEREF _Toc17311 \h </w:instrText>
          </w:r>
          <w:r>
            <w:fldChar w:fldCharType="separate"/>
          </w:r>
          <w:r>
            <w:t>7</w:t>
          </w:r>
          <w:r>
            <w:fldChar w:fldCharType="end"/>
          </w:r>
          <w:r>
            <w:rPr>
              <w:bCs/>
              <w:kern w:val="2"/>
              <w:szCs w:val="24"/>
              <w:lang w:val="en-US"/>
            </w:rPr>
            <w:fldChar w:fldCharType="end"/>
          </w:r>
        </w:p>
        <w:p>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_Toc15475 </w:instrText>
          </w:r>
          <w:r>
            <w:rPr>
              <w:bCs/>
              <w:kern w:val="2"/>
              <w:szCs w:val="24"/>
              <w:lang w:val="en-US"/>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_Toc15475 \h </w:instrText>
          </w:r>
          <w:r>
            <w:fldChar w:fldCharType="separate"/>
          </w:r>
          <w:r>
            <w:t>7</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_Toc25680 </w:instrText>
          </w:r>
          <w:r>
            <w:rPr>
              <w:bCs/>
              <w:kern w:val="2"/>
              <w:szCs w:val="24"/>
              <w:lang w:val="en-US"/>
            </w:rPr>
            <w:fldChar w:fldCharType="separate"/>
          </w:r>
          <w:r>
            <w:rPr>
              <w:rFonts w:hint="eastAsia"/>
            </w:rPr>
            <w:t>7. 房间模拟</w:t>
          </w:r>
          <w:r>
            <w:t>结果</w:t>
          </w:r>
          <w:r>
            <w:tab/>
          </w:r>
          <w:r>
            <w:fldChar w:fldCharType="begin"/>
          </w:r>
          <w:r>
            <w:instrText xml:space="preserve"> PAGEREF _Toc25680 \h </w:instrText>
          </w:r>
          <w:r>
            <w:fldChar w:fldCharType="separate"/>
          </w:r>
          <w:r>
            <w:t>7</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_Toc7580 </w:instrText>
          </w:r>
          <w:r>
            <w:rPr>
              <w:bCs/>
              <w:kern w:val="2"/>
              <w:szCs w:val="24"/>
              <w:lang w:val="en-US"/>
            </w:rPr>
            <w:fldChar w:fldCharType="separate"/>
          </w:r>
          <w:r>
            <w:rPr>
              <w:rFonts w:hint="eastAsia"/>
              <w:lang w:val="en-GB"/>
            </w:rPr>
            <w:t xml:space="preserve">7.1 </w:t>
          </w:r>
          <w:r>
            <w:rPr>
              <w:rFonts w:hint="eastAsia"/>
            </w:rPr>
            <w:t>房间采光系数</w:t>
          </w:r>
          <w:r>
            <w:tab/>
          </w:r>
          <w:r>
            <w:fldChar w:fldCharType="begin"/>
          </w:r>
          <w:r>
            <w:instrText xml:space="preserve"> PAGEREF _Toc7580 \h </w:instrText>
          </w:r>
          <w:r>
            <w:fldChar w:fldCharType="separate"/>
          </w:r>
          <w:r>
            <w:t>8</w:t>
          </w:r>
          <w:r>
            <w:fldChar w:fldCharType="end"/>
          </w:r>
          <w:r>
            <w:rPr>
              <w:bCs/>
              <w:kern w:val="2"/>
              <w:szCs w:val="24"/>
              <w:lang w:val="en-US"/>
            </w:rPr>
            <w:fldChar w:fldCharType="end"/>
          </w:r>
        </w:p>
        <w:p>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_Toc26428 </w:instrText>
          </w:r>
          <w:r>
            <w:rPr>
              <w:bCs/>
              <w:kern w:val="2"/>
              <w:szCs w:val="24"/>
              <w:lang w:val="en-US"/>
            </w:rPr>
            <w:fldChar w:fldCharType="separate"/>
          </w:r>
          <w:r>
            <w:rPr>
              <w:rFonts w:hint="eastAsia"/>
              <w:lang w:val="en-GB"/>
            </w:rPr>
            <w:t xml:space="preserve">7.2 </w:t>
          </w:r>
          <w:r>
            <w:rPr>
              <w:rFonts w:hint="eastAsia"/>
            </w:rPr>
            <w:t>户型统计结果</w:t>
          </w:r>
          <w:r>
            <w:tab/>
          </w:r>
          <w:r>
            <w:fldChar w:fldCharType="begin"/>
          </w:r>
          <w:r>
            <w:instrText xml:space="preserve"> PAGEREF _Toc26428 \h </w:instrText>
          </w:r>
          <w:r>
            <w:fldChar w:fldCharType="separate"/>
          </w:r>
          <w:r>
            <w:t>21</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_Toc20804 </w:instrText>
          </w:r>
          <w:r>
            <w:rPr>
              <w:bCs/>
              <w:kern w:val="2"/>
              <w:szCs w:val="24"/>
              <w:lang w:val="en-US"/>
            </w:rPr>
            <w:fldChar w:fldCharType="separate"/>
          </w:r>
          <w:r>
            <w:rPr>
              <w:rFonts w:hint="eastAsia"/>
            </w:rPr>
            <w:t>8. 采光</w:t>
          </w:r>
          <w:r>
            <w:t>效果分析</w:t>
          </w:r>
          <w:r>
            <w:rPr>
              <w:rFonts w:hint="eastAsia"/>
            </w:rPr>
            <w:t>彩图</w:t>
          </w:r>
          <w:r>
            <w:tab/>
          </w:r>
          <w:r>
            <w:fldChar w:fldCharType="begin"/>
          </w:r>
          <w:r>
            <w:instrText xml:space="preserve"> PAGEREF _Toc20804 \h </w:instrText>
          </w:r>
          <w:r>
            <w:fldChar w:fldCharType="separate"/>
          </w:r>
          <w:r>
            <w:t>21</w:t>
          </w:r>
          <w:r>
            <w:fldChar w:fldCharType="end"/>
          </w:r>
          <w:r>
            <w:rPr>
              <w:bCs/>
              <w:kern w:val="2"/>
              <w:szCs w:val="24"/>
              <w:lang w:val="en-US"/>
            </w:rPr>
            <w:fldChar w:fldCharType="end"/>
          </w:r>
        </w:p>
        <w:p>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_Toc2086 </w:instrText>
          </w:r>
          <w:r>
            <w:rPr>
              <w:bCs/>
              <w:kern w:val="2"/>
              <w:szCs w:val="24"/>
              <w:lang w:val="en-US"/>
            </w:rPr>
            <w:fldChar w:fldCharType="separate"/>
          </w:r>
          <w:r>
            <w:rPr>
              <w:rFonts w:hint="eastAsia"/>
            </w:rPr>
            <w:t>9. 结论</w:t>
          </w:r>
          <w:r>
            <w:tab/>
          </w:r>
          <w:r>
            <w:fldChar w:fldCharType="begin"/>
          </w:r>
          <w:r>
            <w:instrText xml:space="preserve"> PAGEREF _Toc2086 \h </w:instrText>
          </w:r>
          <w:r>
            <w:fldChar w:fldCharType="separate"/>
          </w:r>
          <w:r>
            <w:t>23</w:t>
          </w:r>
          <w:r>
            <w:fldChar w:fldCharType="end"/>
          </w:r>
          <w:r>
            <w:rPr>
              <w:bCs/>
              <w:kern w:val="2"/>
              <w:szCs w:val="24"/>
              <w:lang w:val="en-US"/>
            </w:rPr>
            <w:fldChar w:fldCharType="end"/>
          </w:r>
        </w:p>
        <w:p>
          <w:r>
            <w:rPr>
              <w:bCs/>
              <w:kern w:val="2"/>
              <w:szCs w:val="24"/>
              <w:lang w:val="en-US"/>
            </w:rPr>
            <w:fldChar w:fldCharType="end"/>
          </w:r>
        </w:p>
      </w:sdtContent>
    </w:sdt>
    <w:p>
      <w:pPr>
        <w:spacing w:line="240" w:lineRule="auto"/>
        <w:rPr>
          <w:lang w:val="en-US"/>
        </w:rPr>
      </w:pPr>
    </w:p>
    <w:bookmarkEnd w:id="11"/>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2" w:name="_Toc4028"/>
      <w:r>
        <w:rPr>
          <w:rFonts w:hint="eastAsia"/>
        </w:rPr>
        <w:t>建筑概况</w:t>
      </w:r>
      <w:bookmarkEnd w:id="12"/>
    </w:p>
    <w:tbl>
      <w:tblPr>
        <w:tblStyle w:val="20"/>
        <w:tblpPr w:leftFromText="180" w:rightFromText="180" w:vertAnchor="text" w:horzAnchor="margin" w:tblpY="233"/>
        <w:tblW w:w="8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5"/>
        <w:gridCol w:w="2624"/>
        <w:gridCol w:w="1757"/>
        <w:gridCol w:w="2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lang w:val="en-US"/>
              </w:rPr>
              <w:t>项目所在地</w:t>
            </w:r>
          </w:p>
        </w:tc>
        <w:tc>
          <w:tcPr>
            <w:tcW w:w="6447" w:type="dxa"/>
            <w:gridSpan w:val="3"/>
            <w:vAlign w:val="center"/>
          </w:tcPr>
          <w:p>
            <w:pPr>
              <w:pStyle w:val="3"/>
              <w:spacing w:line="360" w:lineRule="exact"/>
              <w:rPr>
                <w:lang w:val="en-US"/>
              </w:rPr>
            </w:pPr>
            <w:bookmarkStart w:id="13" w:name="项目地点"/>
            <w:r>
              <w:t>唐山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光气候分区</w:t>
            </w:r>
          </w:p>
        </w:tc>
        <w:tc>
          <w:tcPr>
            <w:tcW w:w="2624" w:type="dxa"/>
            <w:vAlign w:val="center"/>
          </w:tcPr>
          <w:p>
            <w:pPr>
              <w:pStyle w:val="3"/>
              <w:spacing w:line="360" w:lineRule="exact"/>
              <w:rPr>
                <w:lang w:val="en-US"/>
              </w:rPr>
            </w:pPr>
            <w:bookmarkStart w:id="14" w:name="光气候分区"/>
            <w:r>
              <w:t>III</w:t>
            </w:r>
            <w:bookmarkEnd w:id="14"/>
          </w:p>
        </w:tc>
        <w:tc>
          <w:tcPr>
            <w:tcW w:w="1757" w:type="dxa"/>
            <w:shd w:val="clear" w:color="auto" w:fill="E0E0E0"/>
            <w:vAlign w:val="center"/>
          </w:tcPr>
          <w:p>
            <w:pPr>
              <w:pStyle w:val="3"/>
              <w:spacing w:line="360" w:lineRule="exact"/>
              <w:rPr>
                <w:lang w:val="en-US"/>
              </w:rPr>
            </w:pPr>
            <w:r>
              <w:rPr>
                <w:rFonts w:hint="eastAsia"/>
                <w:lang w:val="en-US"/>
              </w:rPr>
              <w:t>光气候系数K</w:t>
            </w:r>
          </w:p>
        </w:tc>
        <w:tc>
          <w:tcPr>
            <w:tcW w:w="2066" w:type="dxa"/>
            <w:vAlign w:val="center"/>
          </w:tcPr>
          <w:p>
            <w:pPr>
              <w:pStyle w:val="3"/>
              <w:spacing w:line="360" w:lineRule="exact"/>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建筑面积</w:t>
            </w:r>
          </w:p>
        </w:tc>
        <w:tc>
          <w:tcPr>
            <w:tcW w:w="6447" w:type="dxa"/>
            <w:gridSpan w:val="3"/>
            <w:vAlign w:val="center"/>
          </w:tcPr>
          <w:p>
            <w:pPr>
              <w:pStyle w:val="3"/>
              <w:spacing w:line="360" w:lineRule="exact"/>
              <w:rPr>
                <w:lang w:val="en-US"/>
              </w:rPr>
            </w:pPr>
            <w:r>
              <w:rPr>
                <w:rFonts w:hint="eastAsia"/>
                <w:lang w:val="en-US"/>
              </w:rPr>
              <w:t xml:space="preserve">地上  </w:t>
            </w:r>
            <w:bookmarkStart w:id="16" w:name="地上建筑面积"/>
            <w:r>
              <w:t>11782.90</w:t>
            </w:r>
            <w:bookmarkEnd w:id="16"/>
            <w:r>
              <w:rPr>
                <w:rFonts w:hint="eastAsia"/>
              </w:rPr>
              <w:t>㎡</w:t>
            </w:r>
            <w:r>
              <w:rPr>
                <w:rFonts w:hint="eastAsia"/>
                <w:lang w:val="en-US"/>
              </w:rPr>
              <w:t xml:space="preserve">    地下  </w:t>
            </w:r>
            <w:bookmarkStart w:id="17" w:name="地下建筑面积"/>
            <w:r>
              <w:t>333.31</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建筑层数</w:t>
            </w:r>
          </w:p>
        </w:tc>
        <w:tc>
          <w:tcPr>
            <w:tcW w:w="6447" w:type="dxa"/>
            <w:gridSpan w:val="3"/>
            <w:vAlign w:val="center"/>
          </w:tcPr>
          <w:p>
            <w:pPr>
              <w:pStyle w:val="3"/>
              <w:spacing w:line="360" w:lineRule="exact"/>
              <w:rPr>
                <w:lang w:val="en-US"/>
              </w:rPr>
            </w:pPr>
            <w:r>
              <w:rPr>
                <w:rFonts w:hint="eastAsia"/>
                <w:lang w:val="en-US"/>
              </w:rPr>
              <w:t xml:space="preserve">地上  </w:t>
            </w:r>
            <w:bookmarkStart w:id="18" w:name="地上建筑层数"/>
            <w:r>
              <w:t>19</w:t>
            </w:r>
            <w:bookmarkEnd w:id="18"/>
            <w:r>
              <w:rPr>
                <w:rFonts w:hint="eastAsia"/>
                <w:lang w:val="en-US"/>
              </w:rPr>
              <w:t xml:space="preserve">          地下 </w:t>
            </w:r>
            <w:bookmarkStart w:id="19" w:name="地下建筑层数"/>
            <w:r>
              <w:t>1</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建筑高度</w:t>
            </w:r>
          </w:p>
        </w:tc>
        <w:tc>
          <w:tcPr>
            <w:tcW w:w="6447" w:type="dxa"/>
            <w:gridSpan w:val="3"/>
            <w:vAlign w:val="center"/>
          </w:tcPr>
          <w:p>
            <w:pPr>
              <w:pStyle w:val="3"/>
              <w:spacing w:line="360" w:lineRule="exact"/>
              <w:rPr>
                <w:lang w:val="en-US"/>
              </w:rPr>
            </w:pPr>
            <w:r>
              <w:rPr>
                <w:rFonts w:hint="eastAsia"/>
                <w:lang w:val="en-US"/>
              </w:rPr>
              <w:t xml:space="preserve">地上 </w:t>
            </w:r>
            <w:bookmarkStart w:id="20" w:name="地上建筑高度"/>
            <w:r>
              <w:t>56.40</w:t>
            </w:r>
            <w:bookmarkEnd w:id="20"/>
            <w:r>
              <w:rPr>
                <w:rFonts w:hint="eastAsia"/>
                <w:lang w:val="en-US"/>
              </w:rPr>
              <w:t xml:space="preserve"> m     地下  </w:t>
            </w:r>
            <w:bookmarkStart w:id="21" w:name="地下建筑高度"/>
            <w:r>
              <w:t>3.30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rPr>
              <w:t>备注</w:t>
            </w:r>
          </w:p>
        </w:tc>
        <w:tc>
          <w:tcPr>
            <w:tcW w:w="6447" w:type="dxa"/>
            <w:gridSpan w:val="3"/>
            <w:vAlign w:val="center"/>
          </w:tcPr>
          <w:p>
            <w:pPr>
              <w:pStyle w:val="3"/>
              <w:spacing w:line="360" w:lineRule="exact"/>
              <w:rPr>
                <w:lang w:val="en-US"/>
              </w:rPr>
            </w:pPr>
            <w:bookmarkStart w:id="22" w:name="备注"/>
            <w:bookmarkEnd w:id="22"/>
          </w:p>
        </w:tc>
      </w:tr>
    </w:tbl>
    <w:p>
      <w:pPr>
        <w:pStyle w:val="3"/>
        <w:spacing w:line="360" w:lineRule="exact"/>
        <w:jc w:val="center"/>
        <w:rPr>
          <w:lang w:val="en-US"/>
        </w:rPr>
      </w:pPr>
    </w:p>
    <w:p>
      <w:pPr>
        <w:pStyle w:val="3"/>
        <w:ind w:firstLine="420"/>
        <w:jc w:val="center"/>
        <w:rPr>
          <w:lang w:val="en-US"/>
        </w:rPr>
      </w:pPr>
    </w:p>
    <w:p>
      <w:pPr>
        <w:pStyle w:val="2"/>
      </w:pPr>
      <w:bookmarkStart w:id="23" w:name="_Toc23510"/>
      <w:r>
        <w:rPr>
          <w:rFonts w:hint="eastAsia"/>
        </w:rPr>
        <w:t>设计依据</w:t>
      </w:r>
      <w:bookmarkEnd w:id="23"/>
    </w:p>
    <w:p>
      <w:pPr>
        <w:pStyle w:val="3"/>
        <w:numPr>
          <w:ilvl w:val="0"/>
          <w:numId w:val="2"/>
        </w:numPr>
      </w:pPr>
      <w:r>
        <w:rPr>
          <w:rFonts w:hint="eastAsia"/>
        </w:rPr>
        <w:t xml:space="preserve">《建筑采光设计标准》  </w:t>
      </w:r>
      <w:bookmarkStart w:id="24" w:name="采光标准"/>
      <w:r>
        <w:t>GB50033-2013</w:t>
      </w:r>
      <w:bookmarkEnd w:id="24"/>
    </w:p>
    <w:p>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pPr>
        <w:pStyle w:val="3"/>
        <w:numPr>
          <w:ilvl w:val="0"/>
          <w:numId w:val="2"/>
        </w:numPr>
      </w:pPr>
      <w:r>
        <w:rPr>
          <w:rFonts w:hint="eastAsia"/>
        </w:rPr>
        <w:t>《采光</w:t>
      </w:r>
      <w:r>
        <w:t>测量方法</w:t>
      </w:r>
      <w:r>
        <w:rPr>
          <w:rFonts w:hint="eastAsia"/>
        </w:rPr>
        <w:t>》GB/T 5699</w:t>
      </w:r>
      <w:r>
        <w:t>-2017</w:t>
      </w:r>
    </w:p>
    <w:p>
      <w:pPr>
        <w:pStyle w:val="2"/>
      </w:pPr>
      <w:bookmarkStart w:id="25" w:name="_Toc17964"/>
      <w:r>
        <w:rPr>
          <w:rFonts w:hint="eastAsia"/>
        </w:rPr>
        <w:t>计算</w:t>
      </w:r>
      <w:r>
        <w:t>目的</w:t>
      </w:r>
      <w:bookmarkEnd w:id="25"/>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本报告旨在通过采光软件对目标</w:t>
      </w:r>
      <w:r>
        <w:rPr>
          <w:rFonts w:ascii="微软雅黑" w:hAnsi="微软雅黑" w:eastAsia="微软雅黑"/>
          <w:sz w:val="21"/>
          <w:szCs w:val="21"/>
        </w:rPr>
        <w:t>建筑进行采光</w:t>
      </w:r>
      <w:r>
        <w:rPr>
          <w:rFonts w:hint="eastAsia" w:ascii="微软雅黑" w:hAnsi="微软雅黑" w:eastAsia="微软雅黑"/>
          <w:sz w:val="21"/>
          <w:szCs w:val="21"/>
        </w:rPr>
        <w:t>分析计算，求得建筑内</w:t>
      </w:r>
      <w:r>
        <w:rPr>
          <w:rFonts w:ascii="微软雅黑" w:hAnsi="微软雅黑" w:eastAsia="微软雅黑"/>
          <w:sz w:val="21"/>
          <w:szCs w:val="21"/>
        </w:rPr>
        <w:t>房间的</w:t>
      </w:r>
      <w:r>
        <w:rPr>
          <w:rFonts w:hint="eastAsia" w:ascii="微软雅黑" w:hAnsi="微软雅黑" w:eastAsia="微软雅黑"/>
          <w:sz w:val="21"/>
          <w:szCs w:val="21"/>
        </w:rPr>
        <w:t>平均</w:t>
      </w:r>
      <w:r>
        <w:rPr>
          <w:rFonts w:ascii="微软雅黑" w:hAnsi="微软雅黑" w:eastAsia="微软雅黑"/>
          <w:sz w:val="21"/>
          <w:szCs w:val="21"/>
        </w:rPr>
        <w:t>采光系数</w:t>
      </w:r>
      <w:r>
        <w:rPr>
          <w:rFonts w:hint="eastAsia" w:ascii="微软雅黑" w:hAnsi="微软雅黑" w:eastAsia="微软雅黑"/>
          <w:sz w:val="21"/>
          <w:szCs w:val="21"/>
        </w:rPr>
        <w:t>和达标面积比例</w:t>
      </w:r>
      <w:r>
        <w:rPr>
          <w:rFonts w:ascii="微软雅黑" w:hAnsi="微软雅黑" w:eastAsia="微软雅黑"/>
          <w:sz w:val="21"/>
          <w:szCs w:val="21"/>
        </w:rPr>
        <w:t>，</w:t>
      </w:r>
      <w:r>
        <w:rPr>
          <w:rFonts w:hint="eastAsia" w:ascii="微软雅黑" w:hAnsi="微软雅黑" w:eastAsia="微软雅黑"/>
          <w:sz w:val="21"/>
          <w:szCs w:val="21"/>
        </w:rPr>
        <w:t>从而评价本建筑的采光设计是否符合《建筑采光设计标准》和</w:t>
      </w:r>
      <w:r>
        <w:rPr>
          <w:rFonts w:ascii="微软雅黑" w:hAnsi="微软雅黑" w:eastAsia="微软雅黑"/>
          <w:sz w:val="21"/>
          <w:szCs w:val="21"/>
        </w:rPr>
        <w:t>《</w:t>
      </w:r>
      <w:r>
        <w:rPr>
          <w:rFonts w:hint="eastAsia" w:ascii="微软雅黑" w:hAnsi="微软雅黑" w:eastAsia="微软雅黑"/>
          <w:sz w:val="21"/>
          <w:szCs w:val="21"/>
        </w:rPr>
        <w:t>民用建筑设计统一标准</w:t>
      </w:r>
      <w:r>
        <w:rPr>
          <w:rFonts w:ascii="微软雅黑" w:hAnsi="微软雅黑" w:eastAsia="微软雅黑"/>
          <w:sz w:val="21"/>
          <w:szCs w:val="21"/>
        </w:rPr>
        <w:t>》</w:t>
      </w:r>
      <w:r>
        <w:rPr>
          <w:rFonts w:hint="eastAsia" w:ascii="微软雅黑" w:hAnsi="微软雅黑" w:eastAsia="微软雅黑"/>
          <w:sz w:val="21"/>
          <w:szCs w:val="21"/>
        </w:rPr>
        <w:t>的要求。</w:t>
      </w:r>
    </w:p>
    <w:p>
      <w:pPr>
        <w:pStyle w:val="2"/>
      </w:pPr>
      <w:bookmarkStart w:id="26" w:name="_Toc5739"/>
      <w:r>
        <w:rPr>
          <w:rFonts w:hint="eastAsia"/>
        </w:rPr>
        <w:t>标准要求</w:t>
      </w:r>
      <w:bookmarkEnd w:id="26"/>
    </w:p>
    <w:p>
      <w:pPr>
        <w:pStyle w:val="3"/>
        <w:ind w:firstLine="420"/>
      </w:pPr>
      <w:r>
        <w:t>本项目为</w:t>
      </w:r>
      <w:r>
        <w:rPr>
          <w:rFonts w:hint="eastAsia"/>
        </w:rPr>
        <w:t>住宅建筑，主要功能房间为卧室和起居室等。</w:t>
      </w:r>
      <w:r>
        <w:t>《建筑采光设计标准》GB 50033</w:t>
      </w:r>
      <w:r>
        <w:rPr>
          <w:rFonts w:hint="eastAsia"/>
        </w:rPr>
        <w:t>对采光计算方法、采光等级和</w:t>
      </w:r>
      <w:r>
        <w:t>采光标准值</w:t>
      </w:r>
      <w:r>
        <w:rPr>
          <w:rFonts w:hint="eastAsia"/>
        </w:rPr>
        <w:t>，不同</w:t>
      </w:r>
      <w:r>
        <w:t>光气候分区</w:t>
      </w:r>
      <w:r>
        <w:rPr>
          <w:rFonts w:hint="eastAsia"/>
        </w:rPr>
        <w:t>下的</w:t>
      </w:r>
      <w:r>
        <w:t>光气候系数</w:t>
      </w:r>
      <w:r>
        <w:rPr>
          <w:rFonts w:hint="eastAsia"/>
        </w:rPr>
        <w:t>K值、</w:t>
      </w:r>
      <w:r>
        <w:t>室外天然光设计照度值Es</w:t>
      </w:r>
      <w:r>
        <w:rPr>
          <w:rFonts w:hint="eastAsia"/>
        </w:rPr>
        <w:t>值等做了相应规定，对住宅建建筑主要功能房间的采光系数做出规定，</w:t>
      </w:r>
      <w:r>
        <w:t>《</w:t>
      </w:r>
      <w:r>
        <w:rPr>
          <w:rFonts w:hint="eastAsia"/>
        </w:rPr>
        <w:t>民用建筑设计统一标准</w:t>
      </w:r>
      <w:r>
        <w:t>》GB 50352</w:t>
      </w:r>
      <w:r>
        <w:rPr>
          <w:rFonts w:hint="eastAsia"/>
        </w:rPr>
        <w:t>对住宅建筑的采光达标要求做了补充。</w:t>
      </w:r>
    </w:p>
    <w:p>
      <w:pPr>
        <w:pStyle w:val="13"/>
        <w:numPr>
          <w:ilvl w:val="0"/>
          <w:numId w:val="3"/>
        </w:numPr>
        <w:spacing w:line="42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 50033-2013</w:t>
      </w:r>
      <w:r>
        <w:rPr>
          <w:rFonts w:hint="eastAsia" w:ascii="微软雅黑" w:hAnsi="微软雅黑" w:eastAsia="微软雅黑"/>
          <w:b/>
          <w:sz w:val="21"/>
          <w:szCs w:val="21"/>
        </w:rPr>
        <w:t>相关</w:t>
      </w:r>
      <w:r>
        <w:rPr>
          <w:rFonts w:ascii="微软雅黑" w:hAnsi="微软雅黑" w:eastAsia="微软雅黑"/>
          <w:b/>
          <w:sz w:val="21"/>
          <w:szCs w:val="21"/>
        </w:rPr>
        <w:t>条文</w:t>
      </w:r>
    </w:p>
    <w:p>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pPr>
        <w:spacing w:line="360" w:lineRule="auto"/>
        <w:rPr>
          <w:kern w:val="2"/>
          <w:sz w:val="21"/>
          <w:szCs w:val="21"/>
          <w:lang w:val="en-US"/>
        </w:rPr>
      </w:pPr>
      <w:r>
        <w:rPr>
          <w:kern w:val="2"/>
          <w:sz w:val="21"/>
          <w:szCs w:val="21"/>
          <w:lang w:val="en-US"/>
        </w:rPr>
        <w:t>表3.0.4  光气候系数K值</w:t>
      </w:r>
    </w:p>
    <w:tbl>
      <w:tblPr>
        <w:tblStyle w:val="20"/>
        <w:tblW w:w="900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942" w:type="dxa"/>
            <w:vAlign w:val="center"/>
          </w:tcPr>
          <w:p>
            <w:pPr>
              <w:widowControl w:val="0"/>
              <w:spacing w:line="276" w:lineRule="auto"/>
              <w:rPr>
                <w:kern w:val="2"/>
                <w:sz w:val="21"/>
                <w:szCs w:val="21"/>
              </w:rPr>
            </w:pPr>
            <w:r>
              <w:rPr>
                <w:szCs w:val="21"/>
              </w:rPr>
              <w:t>光气候区</w:t>
            </w:r>
          </w:p>
        </w:tc>
        <w:tc>
          <w:tcPr>
            <w:tcW w:w="1213" w:type="dxa"/>
            <w:vAlign w:val="center"/>
          </w:tcPr>
          <w:p>
            <w:pPr>
              <w:widowControl w:val="0"/>
              <w:spacing w:line="276" w:lineRule="auto"/>
              <w:rPr>
                <w:kern w:val="2"/>
                <w:sz w:val="21"/>
                <w:szCs w:val="21"/>
              </w:rPr>
            </w:pPr>
            <w:r>
              <w:rPr>
                <w:rFonts w:hint="eastAsia" w:cs="宋体"/>
                <w:szCs w:val="21"/>
              </w:rPr>
              <w:t>Ⅰ</w:t>
            </w:r>
          </w:p>
        </w:tc>
        <w:tc>
          <w:tcPr>
            <w:tcW w:w="1213" w:type="dxa"/>
            <w:vAlign w:val="center"/>
          </w:tcPr>
          <w:p>
            <w:pPr>
              <w:widowControl w:val="0"/>
              <w:spacing w:line="276" w:lineRule="auto"/>
              <w:rPr>
                <w:kern w:val="2"/>
                <w:sz w:val="21"/>
                <w:szCs w:val="21"/>
              </w:rPr>
            </w:pPr>
            <w:r>
              <w:rPr>
                <w:rFonts w:hint="eastAsia" w:cs="宋体"/>
                <w:szCs w:val="21"/>
              </w:rPr>
              <w:t>Ⅱ</w:t>
            </w:r>
          </w:p>
        </w:tc>
        <w:tc>
          <w:tcPr>
            <w:tcW w:w="1213" w:type="dxa"/>
            <w:vAlign w:val="center"/>
          </w:tcPr>
          <w:p>
            <w:pPr>
              <w:widowControl w:val="0"/>
              <w:spacing w:line="276" w:lineRule="auto"/>
              <w:rPr>
                <w:kern w:val="2"/>
                <w:sz w:val="21"/>
                <w:szCs w:val="21"/>
              </w:rPr>
            </w:pPr>
            <w:r>
              <w:rPr>
                <w:rFonts w:hint="eastAsia" w:cs="宋体"/>
                <w:szCs w:val="21"/>
              </w:rPr>
              <w:t>Ⅲ</w:t>
            </w:r>
          </w:p>
        </w:tc>
        <w:tc>
          <w:tcPr>
            <w:tcW w:w="1213" w:type="dxa"/>
            <w:vAlign w:val="center"/>
          </w:tcPr>
          <w:p>
            <w:pPr>
              <w:widowControl w:val="0"/>
              <w:spacing w:line="276" w:lineRule="auto"/>
              <w:rPr>
                <w:kern w:val="2"/>
                <w:sz w:val="21"/>
                <w:szCs w:val="21"/>
              </w:rPr>
            </w:pPr>
            <w:r>
              <w:rPr>
                <w:rFonts w:hint="eastAsia" w:cs="宋体"/>
                <w:szCs w:val="21"/>
              </w:rPr>
              <w:t>Ⅳ</w:t>
            </w:r>
          </w:p>
        </w:tc>
        <w:tc>
          <w:tcPr>
            <w:tcW w:w="1214" w:type="dxa"/>
            <w:vAlign w:val="center"/>
          </w:tcPr>
          <w:p>
            <w:pPr>
              <w:widowControl w:val="0"/>
              <w:spacing w:line="276" w:lineRule="auto"/>
              <w:rPr>
                <w:kern w:val="2"/>
                <w:sz w:val="21"/>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942" w:type="dxa"/>
            <w:vAlign w:val="center"/>
          </w:tcPr>
          <w:p>
            <w:pPr>
              <w:widowControl w:val="0"/>
              <w:spacing w:line="276" w:lineRule="auto"/>
              <w:rPr>
                <w:kern w:val="2"/>
                <w:sz w:val="21"/>
                <w:szCs w:val="21"/>
              </w:rPr>
            </w:pPr>
            <w:r>
              <w:rPr>
                <w:szCs w:val="21"/>
              </w:rPr>
              <w:t>K值</w:t>
            </w:r>
          </w:p>
        </w:tc>
        <w:tc>
          <w:tcPr>
            <w:tcW w:w="1213" w:type="dxa"/>
            <w:vAlign w:val="center"/>
          </w:tcPr>
          <w:p>
            <w:pPr>
              <w:widowControl w:val="0"/>
              <w:spacing w:line="276" w:lineRule="auto"/>
              <w:rPr>
                <w:kern w:val="2"/>
                <w:sz w:val="21"/>
                <w:szCs w:val="21"/>
              </w:rPr>
            </w:pPr>
            <w:r>
              <w:rPr>
                <w:szCs w:val="21"/>
              </w:rPr>
              <w:t>0.85</w:t>
            </w:r>
          </w:p>
        </w:tc>
        <w:tc>
          <w:tcPr>
            <w:tcW w:w="1213" w:type="dxa"/>
            <w:vAlign w:val="center"/>
          </w:tcPr>
          <w:p>
            <w:pPr>
              <w:widowControl w:val="0"/>
              <w:spacing w:line="276" w:lineRule="auto"/>
              <w:rPr>
                <w:kern w:val="2"/>
                <w:sz w:val="21"/>
                <w:szCs w:val="21"/>
              </w:rPr>
            </w:pPr>
            <w:r>
              <w:rPr>
                <w:szCs w:val="21"/>
              </w:rPr>
              <w:t>0.90</w:t>
            </w:r>
          </w:p>
        </w:tc>
        <w:tc>
          <w:tcPr>
            <w:tcW w:w="1213" w:type="dxa"/>
            <w:vAlign w:val="center"/>
          </w:tcPr>
          <w:p>
            <w:pPr>
              <w:widowControl w:val="0"/>
              <w:spacing w:line="276" w:lineRule="auto"/>
              <w:rPr>
                <w:kern w:val="2"/>
                <w:sz w:val="21"/>
                <w:szCs w:val="21"/>
              </w:rPr>
            </w:pPr>
            <w:r>
              <w:rPr>
                <w:szCs w:val="21"/>
              </w:rPr>
              <w:t>1.00</w:t>
            </w:r>
          </w:p>
        </w:tc>
        <w:tc>
          <w:tcPr>
            <w:tcW w:w="1213" w:type="dxa"/>
            <w:vAlign w:val="center"/>
          </w:tcPr>
          <w:p>
            <w:pPr>
              <w:widowControl w:val="0"/>
              <w:spacing w:line="276" w:lineRule="auto"/>
              <w:rPr>
                <w:kern w:val="2"/>
                <w:sz w:val="21"/>
                <w:szCs w:val="21"/>
              </w:rPr>
            </w:pPr>
            <w:r>
              <w:rPr>
                <w:szCs w:val="21"/>
              </w:rPr>
              <w:t>1.10</w:t>
            </w:r>
          </w:p>
        </w:tc>
        <w:tc>
          <w:tcPr>
            <w:tcW w:w="1214" w:type="dxa"/>
            <w:vAlign w:val="center"/>
          </w:tcPr>
          <w:p>
            <w:pPr>
              <w:widowControl w:val="0"/>
              <w:spacing w:line="276" w:lineRule="auto"/>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942" w:type="dxa"/>
            <w:vAlign w:val="center"/>
          </w:tcPr>
          <w:p>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spacing w:line="276" w:lineRule="auto"/>
              <w:ind w:firstLine="90" w:firstLineChars="50"/>
              <w:rPr>
                <w:kern w:val="2"/>
                <w:sz w:val="21"/>
                <w:szCs w:val="21"/>
              </w:rPr>
            </w:pPr>
            <w:r>
              <w:rPr>
                <w:szCs w:val="21"/>
              </w:rPr>
              <w:t>18000</w:t>
            </w:r>
          </w:p>
        </w:tc>
        <w:tc>
          <w:tcPr>
            <w:tcW w:w="1213" w:type="dxa"/>
            <w:vAlign w:val="center"/>
          </w:tcPr>
          <w:p>
            <w:pPr>
              <w:widowControl w:val="0"/>
              <w:spacing w:line="276" w:lineRule="auto"/>
              <w:ind w:firstLine="90" w:firstLineChars="50"/>
              <w:rPr>
                <w:kern w:val="2"/>
                <w:sz w:val="21"/>
                <w:szCs w:val="21"/>
              </w:rPr>
            </w:pPr>
            <w:r>
              <w:rPr>
                <w:szCs w:val="21"/>
              </w:rPr>
              <w:t>16500</w:t>
            </w:r>
          </w:p>
        </w:tc>
        <w:tc>
          <w:tcPr>
            <w:tcW w:w="1213" w:type="dxa"/>
            <w:vAlign w:val="center"/>
          </w:tcPr>
          <w:p>
            <w:pPr>
              <w:widowControl w:val="0"/>
              <w:spacing w:line="276" w:lineRule="auto"/>
              <w:ind w:firstLine="90" w:firstLineChars="50"/>
              <w:rPr>
                <w:kern w:val="2"/>
                <w:sz w:val="21"/>
                <w:szCs w:val="21"/>
              </w:rPr>
            </w:pPr>
            <w:r>
              <w:rPr>
                <w:szCs w:val="21"/>
              </w:rPr>
              <w:t>15000</w:t>
            </w:r>
          </w:p>
        </w:tc>
        <w:tc>
          <w:tcPr>
            <w:tcW w:w="1213" w:type="dxa"/>
            <w:vAlign w:val="center"/>
          </w:tcPr>
          <w:p>
            <w:pPr>
              <w:widowControl w:val="0"/>
              <w:spacing w:line="276" w:lineRule="auto"/>
              <w:ind w:firstLine="90" w:firstLineChars="50"/>
              <w:rPr>
                <w:kern w:val="2"/>
                <w:sz w:val="21"/>
                <w:szCs w:val="21"/>
              </w:rPr>
            </w:pPr>
            <w:r>
              <w:rPr>
                <w:szCs w:val="21"/>
              </w:rPr>
              <w:t>13500</w:t>
            </w:r>
          </w:p>
        </w:tc>
        <w:tc>
          <w:tcPr>
            <w:tcW w:w="1214" w:type="dxa"/>
            <w:vAlign w:val="center"/>
          </w:tcPr>
          <w:p>
            <w:pPr>
              <w:widowControl w:val="0"/>
              <w:spacing w:line="276" w:lineRule="auto"/>
              <w:ind w:firstLine="90" w:firstLineChars="50"/>
              <w:rPr>
                <w:kern w:val="2"/>
                <w:sz w:val="21"/>
                <w:szCs w:val="21"/>
              </w:rPr>
            </w:pPr>
            <w:r>
              <w:rPr>
                <w:szCs w:val="21"/>
              </w:rPr>
              <w:t>12000</w:t>
            </w:r>
          </w:p>
        </w:tc>
      </w:tr>
    </w:tbl>
    <w:p>
      <w:pPr>
        <w:pStyle w:val="13"/>
        <w:spacing w:before="156" w:beforeLines="50" w:line="360" w:lineRule="exact"/>
        <w:ind w:left="482" w:firstLine="0" w:firstLineChars="0"/>
        <w:rPr>
          <w:rFonts w:ascii="微软雅黑" w:hAnsi="微软雅黑" w:eastAsia="微软雅黑"/>
          <w:sz w:val="21"/>
          <w:szCs w:val="21"/>
        </w:rPr>
      </w:pPr>
      <w:bookmarkStart w:id="27" w:name="_Toc290209336"/>
      <w:bookmarkStart w:id="28" w:name="_Toc290149054"/>
      <w:bookmarkStart w:id="29" w:name="_Toc290209312"/>
      <w:bookmarkStart w:id="30" w:name="_Toc275165382"/>
      <w:bookmarkStart w:id="31" w:name="_Toc264569232"/>
      <w:bookmarkStart w:id="32" w:name="_Toc264043625"/>
      <w:bookmarkStart w:id="33" w:name="_Toc312399791"/>
      <w:r>
        <w:rPr>
          <w:rFonts w:ascii="微软雅黑" w:hAnsi="微软雅黑" w:eastAsia="微软雅黑"/>
          <w:b/>
          <w:bCs/>
          <w:sz w:val="21"/>
          <w:szCs w:val="21"/>
        </w:rPr>
        <w:t>4.0.2</w:t>
      </w:r>
      <w:r>
        <w:rPr>
          <w:rFonts w:ascii="微软雅黑" w:hAnsi="微软雅黑" w:eastAsia="微软雅黑"/>
          <w:sz w:val="21"/>
          <w:szCs w:val="21"/>
        </w:rPr>
        <w:t xml:space="preserve">  住宅建筑的卧室、起居室（厅）的采光不应低于采光等级IV级的采光标准值，侧面采光的采光系数不应低于2.0%，室内天然光照度不应低于300lx。</w:t>
      </w:r>
    </w:p>
    <w:p>
      <w:pPr>
        <w:pStyle w:val="13"/>
        <w:spacing w:before="156" w:beforeLines="50" w:line="360" w:lineRule="exact"/>
        <w:ind w:firstLine="482" w:firstLineChars="0"/>
        <w:rPr>
          <w:rFonts w:ascii="微软雅黑" w:hAnsi="微软雅黑" w:eastAsia="微软雅黑"/>
          <w:sz w:val="21"/>
          <w:szCs w:val="21"/>
        </w:rPr>
      </w:pPr>
      <w:r>
        <w:rPr>
          <w:rFonts w:ascii="微软雅黑" w:hAnsi="微软雅黑" w:eastAsia="微软雅黑"/>
          <w:b/>
          <w:bCs/>
          <w:sz w:val="21"/>
          <w:szCs w:val="21"/>
        </w:rPr>
        <w:t>4.0.3</w:t>
      </w:r>
      <w:r>
        <w:rPr>
          <w:rFonts w:ascii="微软雅黑" w:hAnsi="微软雅黑" w:eastAsia="微软雅黑"/>
          <w:sz w:val="21"/>
          <w:szCs w:val="21"/>
        </w:rPr>
        <w:t xml:space="preserve">  住宅建筑的采光标准值不应低于表4.0.3的规定。</w:t>
      </w:r>
    </w:p>
    <w:p>
      <w:pPr>
        <w:spacing w:line="360" w:lineRule="auto"/>
        <w:rPr>
          <w:szCs w:val="21"/>
        </w:rPr>
      </w:pPr>
      <w:r>
        <w:rPr>
          <w:szCs w:val="21"/>
        </w:rPr>
        <w:t>表4.0.3  住宅建筑的采光标准值</w:t>
      </w:r>
    </w:p>
    <w:tbl>
      <w:tblPr>
        <w:tblStyle w:val="20"/>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119"/>
        <w:gridCol w:w="255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694" w:type="dxa"/>
            <w:vMerge w:val="restart"/>
            <w:tcBorders>
              <w:top w:val="single" w:color="auto" w:sz="12" w:space="0"/>
              <w:left w:val="single" w:color="auto" w:sz="12" w:space="0"/>
            </w:tcBorders>
            <w:vAlign w:val="center"/>
          </w:tcPr>
          <w:p>
            <w:r>
              <w:t>采光等级</w:t>
            </w:r>
          </w:p>
        </w:tc>
        <w:tc>
          <w:tcPr>
            <w:tcW w:w="3119" w:type="dxa"/>
            <w:vMerge w:val="restart"/>
            <w:tcBorders>
              <w:top w:val="single" w:color="auto" w:sz="12" w:space="0"/>
            </w:tcBorders>
            <w:vAlign w:val="center"/>
          </w:tcPr>
          <w:p>
            <w:pPr>
              <w:rPr>
                <w:kern w:val="2"/>
              </w:rPr>
            </w:pPr>
            <w:r>
              <w:t>场所名称</w:t>
            </w:r>
          </w:p>
        </w:tc>
        <w:tc>
          <w:tcPr>
            <w:tcW w:w="5215"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694" w:type="dxa"/>
            <w:vMerge w:val="continue"/>
            <w:tcBorders>
              <w:left w:val="single" w:color="auto" w:sz="12" w:space="0"/>
            </w:tcBorders>
            <w:vAlign w:val="center"/>
          </w:tcPr>
          <w:p/>
        </w:tc>
        <w:tc>
          <w:tcPr>
            <w:tcW w:w="3119" w:type="dxa"/>
            <w:vMerge w:val="continue"/>
            <w:vAlign w:val="center"/>
          </w:tcPr>
          <w:p/>
        </w:tc>
        <w:tc>
          <w:tcPr>
            <w:tcW w:w="2551" w:type="dxa"/>
            <w:vAlign w:val="center"/>
          </w:tcPr>
          <w:p>
            <w:pPr>
              <w:rPr>
                <w:rFonts w:hint="eastAsia"/>
              </w:rPr>
            </w:pPr>
            <w:r>
              <w:t>采光系数标准值（%）</w:t>
            </w:r>
          </w:p>
        </w:tc>
        <w:tc>
          <w:tcPr>
            <w:tcW w:w="2664" w:type="dxa"/>
            <w:tcBorders>
              <w:right w:val="single" w:color="auto" w:sz="12" w:space="0"/>
            </w:tcBorders>
            <w:vAlign w:val="center"/>
          </w:tcPr>
          <w:p>
            <w:r>
              <w:t>室内天然光照度标准值（</w:t>
            </w:r>
            <w:r>
              <w:rPr>
                <w:rFonts w:hint="eastAsia"/>
              </w:rPr>
              <w:t>lx</w:t>
            </w:r>
            <w: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694" w:type="dxa"/>
            <w:tcBorders>
              <w:left w:val="single" w:color="auto" w:sz="12" w:space="0"/>
            </w:tcBorders>
            <w:vAlign w:val="center"/>
          </w:tcPr>
          <w:p>
            <w:r>
              <w:t>Ⅳ</w:t>
            </w:r>
          </w:p>
        </w:tc>
        <w:tc>
          <w:tcPr>
            <w:tcW w:w="3119" w:type="dxa"/>
            <w:vAlign w:val="center"/>
          </w:tcPr>
          <w:p>
            <w:pPr>
              <w:rPr>
                <w:kern w:val="2"/>
              </w:rPr>
            </w:pPr>
            <w:r>
              <w:t>厨房</w:t>
            </w:r>
          </w:p>
        </w:tc>
        <w:tc>
          <w:tcPr>
            <w:tcW w:w="2551" w:type="dxa"/>
            <w:vAlign w:val="center"/>
          </w:tcPr>
          <w:p>
            <w:pPr>
              <w:rPr>
                <w:kern w:val="2"/>
              </w:rPr>
            </w:pPr>
            <w:r>
              <w:t>2.0</w:t>
            </w:r>
          </w:p>
        </w:tc>
        <w:tc>
          <w:tcPr>
            <w:tcW w:w="2664" w:type="dxa"/>
            <w:tcBorders>
              <w:right w:val="single" w:color="auto" w:sz="12" w:space="0"/>
            </w:tcBorders>
            <w:vAlign w:val="center"/>
          </w:tcPr>
          <w:p>
            <w:pPr>
              <w:rPr>
                <w:kern w:val="2"/>
              </w:rP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694" w:type="dxa"/>
            <w:tcBorders>
              <w:left w:val="single" w:color="auto" w:sz="12" w:space="0"/>
              <w:bottom w:val="single" w:color="auto" w:sz="12" w:space="0"/>
            </w:tcBorders>
            <w:vAlign w:val="center"/>
          </w:tcPr>
          <w:p>
            <w:r>
              <w:t>Ⅴ</w:t>
            </w:r>
          </w:p>
        </w:tc>
        <w:tc>
          <w:tcPr>
            <w:tcW w:w="3119" w:type="dxa"/>
            <w:tcBorders>
              <w:bottom w:val="single" w:color="auto" w:sz="12" w:space="0"/>
            </w:tcBorders>
            <w:vAlign w:val="center"/>
          </w:tcPr>
          <w:p>
            <w:pPr>
              <w:rPr>
                <w:kern w:val="2"/>
              </w:rPr>
            </w:pPr>
            <w:r>
              <w:t>卫生间、过道、餐厅、楼梯间</w:t>
            </w:r>
          </w:p>
        </w:tc>
        <w:tc>
          <w:tcPr>
            <w:tcW w:w="2551" w:type="dxa"/>
            <w:tcBorders>
              <w:bottom w:val="single" w:color="auto" w:sz="12" w:space="0"/>
            </w:tcBorders>
            <w:vAlign w:val="center"/>
          </w:tcPr>
          <w:p>
            <w:pPr>
              <w:rPr>
                <w:kern w:val="2"/>
              </w:rPr>
            </w:pPr>
            <w:r>
              <w:t>1.0</w:t>
            </w:r>
          </w:p>
          <w:p/>
        </w:tc>
        <w:tc>
          <w:tcPr>
            <w:tcW w:w="2664" w:type="dxa"/>
            <w:tcBorders>
              <w:bottom w:val="single" w:color="auto" w:sz="12" w:space="0"/>
              <w:right w:val="single" w:color="auto" w:sz="12" w:space="0"/>
            </w:tcBorders>
            <w:vAlign w:val="center"/>
          </w:tcPr>
          <w:p>
            <w:pPr>
              <w:rPr>
                <w:kern w:val="2"/>
              </w:rPr>
            </w:pPr>
            <w:r>
              <w:t>150</w:t>
            </w:r>
          </w:p>
        </w:tc>
      </w:tr>
    </w:tbl>
    <w:p>
      <w:pPr>
        <w:pStyle w:val="13"/>
        <w:numPr>
          <w:ilvl w:val="0"/>
          <w:numId w:val="3"/>
        </w:numPr>
        <w:snapToGrid w:val="0"/>
        <w:spacing w:before="156" w:beforeLines="50"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相关条文</w:t>
      </w:r>
    </w:p>
    <w:p>
      <w:pPr>
        <w:pStyle w:val="3"/>
        <w:ind w:left="360" w:leftChars="200"/>
        <w:rPr>
          <w:kern w:val="2"/>
          <w:lang w:val="en-US"/>
        </w:rPr>
      </w:pPr>
      <w:r>
        <w:rPr>
          <w:b/>
          <w:bCs/>
          <w:kern w:val="2"/>
          <w:lang w:val="en-US"/>
        </w:rPr>
        <w:t>7.1.2</w:t>
      </w:r>
      <w:r>
        <w:rPr>
          <w:lang w:val="en-US"/>
        </w:rPr>
        <w:t xml:space="preserve"> </w:t>
      </w:r>
      <w:r>
        <w:rPr>
          <w:kern w:val="2"/>
          <w:lang w:val="en-US"/>
        </w:rPr>
        <w:t>居住建筑的卧室和起居室（厅）的采光不应低于采光等级IV级的采光系数标准值，且应进行采光计算。采光应符合下列规定：</w:t>
      </w:r>
    </w:p>
    <w:p>
      <w:pPr>
        <w:pStyle w:val="3"/>
        <w:ind w:left="360" w:leftChars="200"/>
        <w:rPr>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pPr>
        <w:pStyle w:val="2"/>
      </w:pPr>
      <w:bookmarkStart w:id="34" w:name="_Toc18010"/>
      <w:r>
        <w:rPr>
          <w:rFonts w:hint="eastAsia"/>
        </w:rPr>
        <w:t>采光分析</w:t>
      </w:r>
      <w:r>
        <w:t>概述</w:t>
      </w:r>
      <w:bookmarkEnd w:id="27"/>
      <w:bookmarkEnd w:id="28"/>
      <w:bookmarkEnd w:id="29"/>
      <w:bookmarkEnd w:id="30"/>
      <w:bookmarkEnd w:id="31"/>
      <w:bookmarkEnd w:id="32"/>
      <w:bookmarkEnd w:id="33"/>
      <w:bookmarkEnd w:id="34"/>
    </w:p>
    <w:p>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spacing w:after="120"/>
      </w:pPr>
      <w:bookmarkStart w:id="35" w:name="_Toc10550"/>
      <w:r>
        <w:rPr>
          <w:rFonts w:hint="eastAsia"/>
        </w:rPr>
        <w:t>基本原理</w:t>
      </w:r>
      <w:bookmarkEnd w:id="35"/>
    </w:p>
    <w:p>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pPr>
        <w:pStyle w:val="13"/>
        <w:spacing w:line="360" w:lineRule="auto"/>
        <w:ind w:firstLine="42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pPr>
        <w:pStyle w:val="13"/>
        <w:spacing w:before="156" w:beforeLines="50" w:after="156" w:afterLines="50" w:line="360" w:lineRule="exact"/>
        <w:ind w:firstLine="426" w:firstLineChars="0"/>
        <w:rPr>
          <w:rFonts w:ascii="微软雅黑" w:hAnsi="微软雅黑" w:eastAsia="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3" w:name="_Toc27291"/>
      <w:r>
        <w:t>分析软件</w:t>
      </w:r>
      <w:bookmarkEnd w:id="36"/>
      <w:bookmarkEnd w:id="37"/>
      <w:bookmarkEnd w:id="38"/>
      <w:bookmarkEnd w:id="39"/>
      <w:bookmarkEnd w:id="40"/>
      <w:bookmarkEnd w:id="41"/>
      <w:bookmarkEnd w:id="42"/>
      <w:bookmarkEnd w:id="43"/>
    </w:p>
    <w:p>
      <w:pPr>
        <w:pStyle w:val="3"/>
        <w:ind w:firstLine="420" w:firstLineChars="200"/>
      </w:pPr>
      <w:bookmarkStart w:id="4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5" w:name="_Toc25264"/>
      <w:r>
        <w:rPr>
          <w:rFonts w:hint="eastAsia"/>
        </w:rPr>
        <w:t>计算方法</w:t>
      </w:r>
      <w:bookmarkEnd w:id="44"/>
      <w:bookmarkEnd w:id="45"/>
    </w:p>
    <w:p>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pPr>
      <w:bookmarkStart w:id="46" w:name="_Toc5906"/>
      <w:r>
        <w:rPr>
          <w:rFonts w:hint="eastAsia"/>
        </w:rPr>
        <w:t>采光计算</w:t>
      </w:r>
      <w:r>
        <w:t>参数</w:t>
      </w:r>
      <w:r>
        <w:rPr>
          <w:rFonts w:hint="eastAsia"/>
        </w:rPr>
        <w:t>取值</w:t>
      </w:r>
      <w:bookmarkEnd w:id="46"/>
    </w:p>
    <w:p>
      <w:pPr>
        <w:pStyle w:val="4"/>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28606"/>
      <w:r>
        <w:t>模拟</w:t>
      </w:r>
      <w:bookmarkEnd w:id="47"/>
      <w:bookmarkEnd w:id="48"/>
      <w:bookmarkEnd w:id="49"/>
      <w:bookmarkEnd w:id="50"/>
      <w:bookmarkEnd w:id="51"/>
      <w:bookmarkEnd w:id="52"/>
      <w:bookmarkEnd w:id="53"/>
      <w:r>
        <w:rPr>
          <w:rFonts w:hint="eastAsia"/>
        </w:rPr>
        <w:t>分析条件说明</w:t>
      </w:r>
      <w:bookmarkEnd w:id="54"/>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5" w:name="光线反射次数"/>
      <w:r>
        <w:t>3</w:t>
      </w:r>
      <w:bookmarkEnd w:id="55"/>
      <w:r>
        <w:rPr>
          <w:rFonts w:ascii="微软雅黑" w:hAnsi="微软雅黑" w:eastAsia="微软雅黑"/>
          <w:sz w:val="21"/>
          <w:szCs w:val="21"/>
        </w:rPr>
        <w:t>次</w:t>
      </w:r>
      <w:r>
        <w:rPr>
          <w:rFonts w:hint="eastAsia" w:ascii="微软雅黑" w:hAnsi="微软雅黑" w:eastAsia="微软雅黑"/>
          <w:sz w:val="21"/>
          <w:szCs w:val="21"/>
        </w:rPr>
        <w:t>；</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6" w:name="分析面高"/>
      <w:r>
        <w:rPr>
          <w:rFonts w:hint="eastAsia" w:ascii="微软雅黑" w:hAnsi="微软雅黑" w:eastAsia="微软雅黑"/>
          <w:sz w:val="21"/>
          <w:szCs w:val="21"/>
        </w:rPr>
        <w:t>0.75</w:t>
      </w:r>
      <w:bookmarkEnd w:id="56"/>
      <w:r>
        <w:rPr>
          <w:rFonts w:ascii="微软雅黑" w:hAnsi="微软雅黑" w:eastAsia="微软雅黑"/>
          <w:sz w:val="21"/>
          <w:szCs w:val="21"/>
        </w:rPr>
        <w:t>m</w:t>
      </w:r>
      <w:r>
        <w:rPr>
          <w:rFonts w:hint="eastAsia" w:ascii="微软雅黑" w:hAnsi="微软雅黑" w:eastAsia="微软雅黑"/>
          <w:sz w:val="21"/>
          <w:szCs w:val="21"/>
        </w:rPr>
        <w:t>，公共空间取地面；</w:t>
      </w:r>
    </w:p>
    <w:p>
      <w:pPr>
        <w:pStyle w:val="13"/>
        <w:spacing w:after="156" w:afterLines="50"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57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7" w:name="网格划分小房间面积"/>
            <w:r>
              <w:rPr>
                <w:rFonts w:hint="eastAsia"/>
              </w:rPr>
              <w:t>10</w:t>
            </w:r>
            <w:bookmarkEnd w:id="57"/>
          </w:p>
        </w:tc>
        <w:tc>
          <w:tcPr>
            <w:tcW w:w="3272" w:type="dxa"/>
            <w:shd w:val="clear" w:color="auto" w:fill="auto"/>
            <w:vAlign w:val="center"/>
          </w:tcPr>
          <w:p>
            <w:bookmarkStart w:id="58" w:name="小房间网格大小"/>
            <w:r>
              <w:rPr>
                <w:rFonts w:hint="eastAsia"/>
              </w:rPr>
              <w:t>0.25</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bookmarkStart w:id="59" w:name="网格划分房间面积"/>
            <w:r>
              <w:rPr>
                <w:rFonts w:hint="eastAsia"/>
              </w:rPr>
              <w:t>10~100</w:t>
            </w:r>
            <w:bookmarkEnd w:id="59"/>
          </w:p>
        </w:tc>
        <w:tc>
          <w:tcPr>
            <w:tcW w:w="3272" w:type="dxa"/>
            <w:shd w:val="clear" w:color="auto" w:fill="auto"/>
            <w:vAlign w:val="center"/>
          </w:tcPr>
          <w:p>
            <w:bookmarkStart w:id="60" w:name="网格大小"/>
            <w:r>
              <w:rPr>
                <w:rFonts w:hint="eastAsia"/>
              </w:rPr>
              <w:t>0.50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1" w:name="网格划分大房间面积"/>
            <w:r>
              <w:rPr>
                <w:rFonts w:hint="eastAsia"/>
              </w:rPr>
              <w:t>100</w:t>
            </w:r>
            <w:bookmarkEnd w:id="61"/>
          </w:p>
        </w:tc>
        <w:tc>
          <w:tcPr>
            <w:tcW w:w="3272" w:type="dxa"/>
            <w:shd w:val="clear" w:color="auto" w:fill="auto"/>
            <w:vAlign w:val="center"/>
          </w:tcPr>
          <w:p>
            <w:bookmarkStart w:id="62" w:name="大房间网格大小"/>
            <w:r>
              <w:rPr>
                <w:rFonts w:hint="eastAsia"/>
              </w:rPr>
              <w:t>1.00</w:t>
            </w:r>
            <w:bookmarkEnd w:id="62"/>
          </w:p>
        </w:tc>
      </w:tr>
    </w:tbl>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考虑分析区内的建筑物之间遮挡；</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pPr>
        <w:pStyle w:val="4"/>
      </w:pPr>
      <w:bookmarkStart w:id="63" w:name="_Toc24881"/>
      <w:r>
        <w:rPr>
          <w:rFonts w:hint="eastAsia"/>
        </w:rPr>
        <w:t>建筑饰面材料参数</w:t>
      </w:r>
      <w:bookmarkEnd w:id="63"/>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90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rPr>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r>
              <w:rPr>
                <w:rFonts w:hint="eastAsia"/>
              </w:rPr>
              <w:t>部位</w:t>
            </w:r>
          </w:p>
        </w:tc>
        <w:tc>
          <w:tcPr>
            <w:tcW w:w="3398" w:type="dxa"/>
            <w:tcBorders>
              <w:top w:val="single" w:color="auto" w:sz="4" w:space="0"/>
              <w:bottom w:val="single" w:color="auto" w:sz="4" w:space="0"/>
            </w:tcBorders>
            <w:shd w:val="clear" w:color="auto" w:fill="E6E6E6"/>
            <w:vAlign w:val="center"/>
          </w:tcPr>
          <w:p>
            <w:r>
              <w:rPr>
                <w:rFonts w:hint="eastAsia"/>
              </w:rPr>
              <w:t>反射比材料设计取值</w:t>
            </w:r>
          </w:p>
        </w:tc>
        <w:tc>
          <w:tcPr>
            <w:tcW w:w="3460"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顶棚</w:t>
            </w:r>
          </w:p>
        </w:tc>
        <w:tc>
          <w:tcPr>
            <w:tcW w:w="3398" w:type="dxa"/>
            <w:tcBorders>
              <w:top w:val="single" w:color="auto" w:sz="4" w:space="0"/>
            </w:tcBorders>
            <w:shd w:val="clear" w:color="auto" w:fill="auto"/>
            <w:vAlign w:val="center"/>
          </w:tcPr>
          <w:p>
            <w:bookmarkStart w:id="64" w:name="顶棚反射比"/>
            <w:r>
              <w:rPr>
                <w:rFonts w:hint="eastAsia"/>
              </w:rPr>
              <w:t>0.75</w:t>
            </w:r>
            <w:bookmarkEnd w:id="64"/>
          </w:p>
        </w:tc>
        <w:tc>
          <w:tcPr>
            <w:tcW w:w="3460"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地面</w:t>
            </w:r>
          </w:p>
        </w:tc>
        <w:tc>
          <w:tcPr>
            <w:tcW w:w="3398" w:type="dxa"/>
            <w:tcBorders>
              <w:top w:val="single" w:color="auto" w:sz="4" w:space="0"/>
            </w:tcBorders>
            <w:shd w:val="clear" w:color="auto" w:fill="auto"/>
            <w:vAlign w:val="center"/>
          </w:tcPr>
          <w:p>
            <w:bookmarkStart w:id="65" w:name="地面反射比"/>
            <w:r>
              <w:rPr>
                <w:rFonts w:hint="eastAsia"/>
              </w:rPr>
              <w:t>0.30</w:t>
            </w:r>
            <w:bookmarkEnd w:id="65"/>
          </w:p>
        </w:tc>
        <w:tc>
          <w:tcPr>
            <w:tcW w:w="3460"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墙面</w:t>
            </w:r>
          </w:p>
        </w:tc>
        <w:tc>
          <w:tcPr>
            <w:tcW w:w="3398" w:type="dxa"/>
            <w:tcBorders>
              <w:top w:val="single" w:color="auto" w:sz="4" w:space="0"/>
            </w:tcBorders>
            <w:shd w:val="clear" w:color="auto" w:fill="auto"/>
            <w:vAlign w:val="center"/>
          </w:tcPr>
          <w:p>
            <w:bookmarkStart w:id="66" w:name="墙面反射比"/>
            <w:r>
              <w:rPr>
                <w:rFonts w:hint="eastAsia"/>
              </w:rPr>
              <w:t>0.60</w:t>
            </w:r>
            <w:bookmarkEnd w:id="66"/>
          </w:p>
        </w:tc>
        <w:tc>
          <w:tcPr>
            <w:tcW w:w="3460"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外表面</w:t>
            </w:r>
          </w:p>
        </w:tc>
        <w:tc>
          <w:tcPr>
            <w:tcW w:w="3398" w:type="dxa"/>
            <w:tcBorders>
              <w:top w:val="single" w:color="auto" w:sz="4" w:space="0"/>
            </w:tcBorders>
            <w:shd w:val="clear" w:color="auto" w:fill="auto"/>
            <w:vAlign w:val="center"/>
          </w:tcPr>
          <w:p>
            <w:bookmarkStart w:id="67" w:name="外表面反射比"/>
            <w:r>
              <w:rPr>
                <w:rFonts w:hint="eastAsia"/>
              </w:rPr>
              <w:t>0.50</w:t>
            </w:r>
            <w:bookmarkEnd w:id="67"/>
          </w:p>
        </w:tc>
        <w:tc>
          <w:tcPr>
            <w:tcW w:w="3460" w:type="dxa"/>
            <w:tcBorders>
              <w:top w:val="single" w:color="auto" w:sz="4" w:space="0"/>
            </w:tcBorders>
            <w:shd w:val="clear" w:color="auto" w:fill="auto"/>
            <w:vAlign w:val="center"/>
          </w:tcPr>
          <w:p>
            <w:pPr>
              <w:rPr>
                <w:sz w:val="21"/>
                <w:szCs w:val="21"/>
              </w:rPr>
            </w:pPr>
          </w:p>
        </w:tc>
      </w:tr>
    </w:tbl>
    <w:p>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pPr>
        <w:pStyle w:val="4"/>
      </w:pPr>
      <w:bookmarkStart w:id="68" w:name="_Toc17311"/>
      <w:r>
        <w:rPr>
          <w:rFonts w:hint="eastAsia"/>
        </w:rPr>
        <w:t>门窗类型参数</w:t>
      </w:r>
      <w:bookmarkEnd w:id="68"/>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9" w:name="_Toc15475"/>
      <w:bookmarkStart w:id="70" w:name="窗"/>
      <w:r>
        <w:rPr>
          <w:rFonts w:hint="eastAsia"/>
        </w:rPr>
        <w:t>普通窗</w:t>
      </w:r>
      <w:bookmarkEnd w:id="69"/>
    </w:p>
    <w:bookmarkEnd w:id="70"/>
    <w:tbl>
      <w:tblPr>
        <w:tblStyle w:val="20"/>
        <w:tblW w:w="932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516"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tc>
        <w:tc>
          <w:tcPr>
            <w:tcW w:w="1245" w:type="dxa"/>
            <w:vAlign w:val="center"/>
          </w:tcPr>
          <w:p>
            <w:r>
              <w:t>1100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C0514</w:t>
            </w:r>
          </w:p>
        </w:tc>
        <w:tc>
          <w:tcPr>
            <w:tcW w:w="1245" w:type="dxa"/>
            <w:vAlign w:val="center"/>
          </w:tcPr>
          <w:p>
            <w:r>
              <w:t>500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C0714</w:t>
            </w:r>
          </w:p>
        </w:tc>
        <w:tc>
          <w:tcPr>
            <w:tcW w:w="1245" w:type="dxa"/>
            <w:vAlign w:val="center"/>
          </w:tcPr>
          <w:p>
            <w:r>
              <w:t>700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C0914</w:t>
            </w:r>
          </w:p>
        </w:tc>
        <w:tc>
          <w:tcPr>
            <w:tcW w:w="1245" w:type="dxa"/>
            <w:vAlign w:val="center"/>
          </w:tcPr>
          <w:p>
            <w:r>
              <w:t>800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C0914a</w:t>
            </w:r>
          </w:p>
        </w:tc>
        <w:tc>
          <w:tcPr>
            <w:tcW w:w="1245" w:type="dxa"/>
            <w:vAlign w:val="center"/>
          </w:tcPr>
          <w:p>
            <w:r>
              <w:t>900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C1020</w:t>
            </w:r>
          </w:p>
        </w:tc>
        <w:tc>
          <w:tcPr>
            <w:tcW w:w="1245" w:type="dxa"/>
            <w:vAlign w:val="center"/>
          </w:tcPr>
          <w:p>
            <w:r>
              <w:t>1000</w:t>
            </w:r>
          </w:p>
        </w:tc>
        <w:tc>
          <w:tcPr>
            <w:tcW w:w="1245" w:type="dxa"/>
            <w:vAlign w:val="center"/>
          </w:tcPr>
          <w:p>
            <w:r>
              <w:t>2000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C1112（排烟）</w:t>
            </w:r>
          </w:p>
        </w:tc>
        <w:tc>
          <w:tcPr>
            <w:tcW w:w="1245" w:type="dxa"/>
            <w:vAlign w:val="center"/>
          </w:tcPr>
          <w:p>
            <w:r>
              <w:t>1100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C1209</w:t>
            </w:r>
          </w:p>
        </w:tc>
        <w:tc>
          <w:tcPr>
            <w:tcW w:w="1245" w:type="dxa"/>
            <w:vAlign w:val="center"/>
          </w:tcPr>
          <w:p>
            <w:r>
              <w:t>1200</w:t>
            </w:r>
          </w:p>
        </w:tc>
        <w:tc>
          <w:tcPr>
            <w:tcW w:w="1245" w:type="dxa"/>
            <w:vAlign w:val="center"/>
          </w:tcPr>
          <w:p>
            <w:r>
              <w:t>1200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C1214</w:t>
            </w:r>
          </w:p>
        </w:tc>
        <w:tc>
          <w:tcPr>
            <w:tcW w:w="1245" w:type="dxa"/>
            <w:vAlign w:val="center"/>
          </w:tcPr>
          <w:p>
            <w:r>
              <w:t>1200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C1514</w:t>
            </w:r>
          </w:p>
        </w:tc>
        <w:tc>
          <w:tcPr>
            <w:tcW w:w="1245" w:type="dxa"/>
            <w:vAlign w:val="center"/>
          </w:tcPr>
          <w:p>
            <w:r>
              <w:t>1400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C1817</w:t>
            </w:r>
          </w:p>
        </w:tc>
        <w:tc>
          <w:tcPr>
            <w:tcW w:w="1245" w:type="dxa"/>
            <w:vAlign w:val="center"/>
          </w:tcPr>
          <w:p>
            <w:r>
              <w:t>1800</w:t>
            </w:r>
          </w:p>
        </w:tc>
        <w:tc>
          <w:tcPr>
            <w:tcW w:w="1245" w:type="dxa"/>
            <w:vAlign w:val="center"/>
          </w:tcPr>
          <w:p>
            <w:r>
              <w:t>1700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C2322</w:t>
            </w:r>
          </w:p>
        </w:tc>
        <w:tc>
          <w:tcPr>
            <w:tcW w:w="1245" w:type="dxa"/>
            <w:vAlign w:val="center"/>
          </w:tcPr>
          <w:p>
            <w:r>
              <w:t>2300</w:t>
            </w:r>
          </w:p>
        </w:tc>
        <w:tc>
          <w:tcPr>
            <w:tcW w:w="1245" w:type="dxa"/>
            <w:vAlign w:val="center"/>
          </w:tcPr>
          <w:p>
            <w:r>
              <w:t>2200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C2724</w:t>
            </w:r>
          </w:p>
        </w:tc>
        <w:tc>
          <w:tcPr>
            <w:tcW w:w="1245" w:type="dxa"/>
            <w:vAlign w:val="center"/>
          </w:tcPr>
          <w:p>
            <w:r>
              <w:t>2700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PC1517</w:t>
            </w:r>
          </w:p>
        </w:tc>
        <w:tc>
          <w:tcPr>
            <w:tcW w:w="1245" w:type="dxa"/>
            <w:vAlign w:val="center"/>
          </w:tcPr>
          <w:p>
            <w:r>
              <w:t>1500</w:t>
            </w:r>
          </w:p>
        </w:tc>
        <w:tc>
          <w:tcPr>
            <w:tcW w:w="1245" w:type="dxa"/>
            <w:vAlign w:val="center"/>
          </w:tcPr>
          <w:p>
            <w:r>
              <w:t>1700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PC1817</w:t>
            </w:r>
          </w:p>
        </w:tc>
        <w:tc>
          <w:tcPr>
            <w:tcW w:w="1245" w:type="dxa"/>
            <w:vAlign w:val="center"/>
          </w:tcPr>
          <w:p>
            <w:r>
              <w:t>1800</w:t>
            </w:r>
          </w:p>
        </w:tc>
        <w:tc>
          <w:tcPr>
            <w:tcW w:w="1245" w:type="dxa"/>
            <w:vAlign w:val="center"/>
          </w:tcPr>
          <w:p>
            <w:r>
              <w:t>1700</w:t>
            </w:r>
          </w:p>
        </w:tc>
        <w:tc>
          <w:tcPr>
            <w:tcW w:w="1301" w:type="dxa"/>
            <w:vAlign w:val="center"/>
          </w:tcPr>
          <w:p>
            <w:r>
              <w:t>单层铝窗</w:t>
            </w:r>
          </w:p>
        </w:tc>
        <w:tc>
          <w:tcPr>
            <w:tcW w:w="1301" w:type="dxa"/>
            <w:vAlign w:val="center"/>
          </w:tcPr>
          <w:p>
            <w:r>
              <w:t>高透Low-E</w:t>
            </w:r>
          </w:p>
        </w:tc>
        <w:tc>
          <w:tcPr>
            <w:tcW w:w="1516" w:type="dxa"/>
            <w:vAlign w:val="center"/>
          </w:tcPr>
          <w:p>
            <w:r>
              <w:t>0.67</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1" w:name="窗污染折减系数"/>
      <w:bookmarkEnd w:id="71"/>
    </w:p>
    <w:p>
      <w:pPr>
        <w:pStyle w:val="2"/>
      </w:pPr>
      <w:bookmarkStart w:id="72" w:name="_Toc25680"/>
      <w:r>
        <w:rPr>
          <w:rFonts w:hint="eastAsia"/>
        </w:rPr>
        <w:t>房间模拟</w:t>
      </w:r>
      <w:r>
        <w:t>结果</w:t>
      </w:r>
      <w:bookmarkEnd w:id="72"/>
    </w:p>
    <w:p>
      <w:pPr>
        <w:pStyle w:val="3"/>
        <w:spacing w:after="156" w:afterLines="50" w:line="360" w:lineRule="exact"/>
        <w:ind w:firstLine="420"/>
        <w:rPr>
          <w:lang w:val="en-US"/>
        </w:rPr>
      </w:pPr>
      <w:r>
        <w:rPr>
          <w:rFonts w:hint="eastAsia"/>
          <w:lang w:val="en-US"/>
        </w:rPr>
        <w:t>本项目为住宅</w:t>
      </w:r>
      <w:r>
        <w:rPr>
          <w:lang w:val="en-US"/>
        </w:rPr>
        <w:t>建筑</w:t>
      </w:r>
      <w:r>
        <w:rPr>
          <w:rFonts w:hint="eastAsia"/>
          <w:lang w:val="en-US"/>
        </w:rPr>
        <w:t>。</w:t>
      </w:r>
      <w:r>
        <w:rPr>
          <w:lang w:val="en-US"/>
        </w:rPr>
        <w:t>根据</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pPr>
        <w:pStyle w:val="4"/>
      </w:pPr>
      <w:bookmarkStart w:id="73" w:name="_Toc7580"/>
      <w:r>
        <w:rPr>
          <w:rFonts w:hint="eastAsia"/>
        </w:rPr>
        <w:t>房间采光系数</w:t>
      </w:r>
      <w:bookmarkEnd w:id="73"/>
    </w:p>
    <w:p>
      <w:pPr>
        <w:rPr>
          <w:lang w:val="en-US"/>
        </w:rPr>
      </w:pPr>
      <w:bookmarkStart w:id="74" w:name="房间采光表"/>
      <w:bookmarkEnd w:id="74"/>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4"/>
        <w:gridCol w:w="820"/>
        <w:gridCol w:w="1075"/>
        <w:gridCol w:w="1075"/>
        <w:gridCol w:w="735"/>
        <w:gridCol w:w="735"/>
        <w:gridCol w:w="905"/>
        <w:gridCol w:w="1075"/>
        <w:gridCol w:w="1301"/>
        <w:gridCol w:w="10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shd w:val="clear" w:color="auto" w:fill="E6E6E6"/>
            <w:vAlign w:val="center"/>
          </w:tcPr>
          <w:p>
            <w:pPr>
              <w:jc w:val="center"/>
            </w:pPr>
            <w:r>
              <w:t>楼层</w:t>
            </w:r>
          </w:p>
        </w:tc>
        <w:tc>
          <w:tcPr>
            <w:tcW w:w="820" w:type="dxa"/>
            <w:shd w:val="clear" w:color="auto" w:fill="E6E6E6"/>
            <w:vAlign w:val="center"/>
          </w:tcPr>
          <w:p>
            <w:pPr>
              <w:jc w:val="center"/>
            </w:pPr>
            <w:r>
              <w:t>户型</w:t>
            </w:r>
          </w:p>
        </w:tc>
        <w:tc>
          <w:tcPr>
            <w:tcW w:w="1075" w:type="dxa"/>
            <w:shd w:val="clear" w:color="auto" w:fill="E6E6E6"/>
            <w:vAlign w:val="center"/>
          </w:tcPr>
          <w:p>
            <w:pPr>
              <w:jc w:val="center"/>
            </w:pPr>
            <w:r>
              <w:t>房间编号</w:t>
            </w:r>
          </w:p>
        </w:tc>
        <w:tc>
          <w:tcPr>
            <w:tcW w:w="1075" w:type="dxa"/>
            <w:shd w:val="clear" w:color="auto" w:fill="E6E6E6"/>
            <w:vAlign w:val="center"/>
          </w:tcPr>
          <w:p>
            <w:pPr>
              <w:jc w:val="center"/>
            </w:pPr>
            <w:r>
              <w:t>房间类型</w:t>
            </w:r>
          </w:p>
        </w:tc>
        <w:tc>
          <w:tcPr>
            <w:tcW w:w="735" w:type="dxa"/>
            <w:shd w:val="clear" w:color="auto" w:fill="E6E6E6"/>
            <w:vAlign w:val="center"/>
          </w:tcPr>
          <w:p>
            <w:pPr>
              <w:jc w:val="center"/>
            </w:pPr>
            <w:r>
              <w:t>采光等级</w:t>
            </w:r>
          </w:p>
        </w:tc>
        <w:tc>
          <w:tcPr>
            <w:tcW w:w="735" w:type="dxa"/>
            <w:shd w:val="clear" w:color="auto" w:fill="E6E6E6"/>
            <w:vAlign w:val="center"/>
          </w:tcPr>
          <w:p>
            <w:pPr>
              <w:jc w:val="center"/>
            </w:pPr>
            <w:r>
              <w:t>采光类型</w:t>
            </w:r>
          </w:p>
        </w:tc>
        <w:tc>
          <w:tcPr>
            <w:tcW w:w="905" w:type="dxa"/>
            <w:shd w:val="clear" w:color="auto" w:fill="E6E6E6"/>
            <w:vAlign w:val="center"/>
          </w:tcPr>
          <w:p>
            <w:pPr>
              <w:jc w:val="center"/>
            </w:pPr>
            <w:r>
              <w:t>房间</w:t>
            </w:r>
            <w:r>
              <w:br w:type="textWrapping"/>
            </w:r>
            <w:r>
              <w:t>面积</w:t>
            </w:r>
          </w:p>
        </w:tc>
        <w:tc>
          <w:tcPr>
            <w:tcW w:w="1075" w:type="dxa"/>
            <w:shd w:val="clear" w:color="auto" w:fill="E6E6E6"/>
            <w:vAlign w:val="center"/>
          </w:tcPr>
          <w:p>
            <w:pPr>
              <w:jc w:val="center"/>
            </w:pPr>
            <w:r>
              <w:t>采光系数C(%)</w:t>
            </w:r>
          </w:p>
        </w:tc>
        <w:tc>
          <w:tcPr>
            <w:tcW w:w="1301" w:type="dxa"/>
            <w:shd w:val="clear" w:color="auto" w:fill="E6E6E6"/>
            <w:vAlign w:val="center"/>
          </w:tcPr>
          <w:p>
            <w:pPr>
              <w:jc w:val="center"/>
            </w:pPr>
            <w:r>
              <w:t>采光系数</w:t>
            </w:r>
            <w:r>
              <w:br w:type="textWrapping"/>
            </w:r>
            <w:r>
              <w:t>标准值(%)</w:t>
            </w:r>
          </w:p>
        </w:tc>
        <w:tc>
          <w:tcPr>
            <w:tcW w:w="1007"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w:t>
            </w:r>
          </w:p>
        </w:tc>
        <w:tc>
          <w:tcPr>
            <w:tcW w:w="820" w:type="dxa"/>
            <w:vMerge w:val="restart"/>
            <w:vAlign w:val="center"/>
          </w:tcPr>
          <w:p>
            <w:r>
              <w:t>1-A</w:t>
            </w:r>
          </w:p>
        </w:tc>
        <w:tc>
          <w:tcPr>
            <w:tcW w:w="1075" w:type="dxa"/>
            <w:vAlign w:val="center"/>
          </w:tcPr>
          <w:p>
            <w:r>
              <w:t>1006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12.04</w:t>
            </w:r>
          </w:p>
        </w:tc>
        <w:tc>
          <w:tcPr>
            <w:tcW w:w="1075" w:type="dxa"/>
            <w:vAlign w:val="center"/>
          </w:tcPr>
          <w:p>
            <w:r>
              <w:t>1.63</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1009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9.18</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7.98</w:t>
            </w:r>
          </w:p>
        </w:tc>
        <w:tc>
          <w:tcPr>
            <w:tcW w:w="1075" w:type="dxa"/>
            <w:vAlign w:val="center"/>
          </w:tcPr>
          <w:p>
            <w:r>
              <w:t>2.71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13.09</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1-B</w:t>
            </w:r>
          </w:p>
        </w:tc>
        <w:tc>
          <w:tcPr>
            <w:tcW w:w="1075" w:type="dxa"/>
            <w:vAlign w:val="center"/>
          </w:tcPr>
          <w:p>
            <w:r>
              <w:t>1002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11.22</w:t>
            </w:r>
          </w:p>
        </w:tc>
        <w:tc>
          <w:tcPr>
            <w:tcW w:w="1075" w:type="dxa"/>
            <w:vAlign w:val="center"/>
          </w:tcPr>
          <w:p>
            <w:r>
              <w:t>2.18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1004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1.59</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2.27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1021</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1-C</w:t>
            </w:r>
          </w:p>
        </w:tc>
        <w:tc>
          <w:tcPr>
            <w:tcW w:w="1075" w:type="dxa"/>
            <w:vAlign w:val="center"/>
          </w:tcPr>
          <w:p>
            <w:r>
              <w:t>1003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11.22</w:t>
            </w:r>
          </w:p>
        </w:tc>
        <w:tc>
          <w:tcPr>
            <w:tcW w:w="1075" w:type="dxa"/>
            <w:vAlign w:val="center"/>
          </w:tcPr>
          <w:p>
            <w:r>
              <w:t>1.92</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1005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1.43</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1022</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1-D</w:t>
            </w:r>
          </w:p>
        </w:tc>
        <w:tc>
          <w:tcPr>
            <w:tcW w:w="1075" w:type="dxa"/>
            <w:vAlign w:val="center"/>
          </w:tcPr>
          <w:p>
            <w:r>
              <w:t>1002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12.04</w:t>
            </w:r>
          </w:p>
        </w:tc>
        <w:tc>
          <w:tcPr>
            <w:tcW w:w="1075" w:type="dxa"/>
            <w:vAlign w:val="center"/>
          </w:tcPr>
          <w:p>
            <w:r>
              <w:t>1.28</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1003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13.09</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9.18</w:t>
            </w:r>
          </w:p>
        </w:tc>
        <w:tc>
          <w:tcPr>
            <w:tcW w:w="1075" w:type="dxa"/>
            <w:vAlign w:val="center"/>
          </w:tcPr>
          <w:p>
            <w:r>
              <w:t>2.71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7.98</w:t>
            </w:r>
          </w:p>
        </w:tc>
        <w:tc>
          <w:tcPr>
            <w:tcW w:w="1075" w:type="dxa"/>
            <w:vAlign w:val="center"/>
          </w:tcPr>
          <w:p>
            <w:r>
              <w:t>2.23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1015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1027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2</w:t>
            </w:r>
          </w:p>
        </w:tc>
        <w:tc>
          <w:tcPr>
            <w:tcW w:w="820" w:type="dxa"/>
            <w:vMerge w:val="restart"/>
            <w:vAlign w:val="center"/>
          </w:tcPr>
          <w:p>
            <w:r>
              <w:t>1-E</w:t>
            </w:r>
          </w:p>
        </w:tc>
        <w:tc>
          <w:tcPr>
            <w:tcW w:w="1075" w:type="dxa"/>
            <w:vAlign w:val="center"/>
          </w:tcPr>
          <w:p>
            <w:r>
              <w:t>2001</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2.15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2005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1.74</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1-G</w:t>
            </w:r>
          </w:p>
        </w:tc>
        <w:tc>
          <w:tcPr>
            <w:tcW w:w="1075" w:type="dxa"/>
            <w:vAlign w:val="center"/>
          </w:tcPr>
          <w:p>
            <w:r>
              <w:t>2003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2.01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1.41</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1-H</w:t>
            </w:r>
          </w:p>
        </w:tc>
        <w:tc>
          <w:tcPr>
            <w:tcW w:w="1075" w:type="dxa"/>
            <w:vAlign w:val="center"/>
          </w:tcPr>
          <w:p>
            <w:r>
              <w:t>2004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1.76</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2006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1.31</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2.29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1-N</w:t>
            </w:r>
          </w:p>
        </w:tc>
        <w:tc>
          <w:tcPr>
            <w:tcW w:w="1075" w:type="dxa"/>
            <w:vAlign w:val="center"/>
          </w:tcPr>
          <w:p>
            <w:r>
              <w:t>2002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2.20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1.58</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3</w:t>
            </w:r>
          </w:p>
        </w:tc>
        <w:tc>
          <w:tcPr>
            <w:tcW w:w="820" w:type="dxa"/>
            <w:vMerge w:val="restart"/>
            <w:vAlign w:val="center"/>
          </w:tcPr>
          <w:p>
            <w:r>
              <w:t>1-J@3</w:t>
            </w:r>
          </w:p>
        </w:tc>
        <w:tc>
          <w:tcPr>
            <w:tcW w:w="1075" w:type="dxa"/>
            <w:vAlign w:val="center"/>
          </w:tcPr>
          <w:p>
            <w:r>
              <w:t>2005@3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1.75</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2.19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1-K@3</w:t>
            </w:r>
          </w:p>
        </w:tc>
        <w:tc>
          <w:tcPr>
            <w:tcW w:w="1075" w:type="dxa"/>
            <w:vAlign w:val="center"/>
          </w:tcPr>
          <w:p>
            <w:r>
              <w:t>2013@3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1.70</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2.25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1-L@3</w:t>
            </w:r>
          </w:p>
        </w:tc>
        <w:tc>
          <w:tcPr>
            <w:tcW w:w="1075" w:type="dxa"/>
            <w:vAlign w:val="center"/>
          </w:tcPr>
          <w:p>
            <w:r>
              <w:t>2014@3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1.48</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2.06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1-M@3</w:t>
            </w:r>
          </w:p>
        </w:tc>
        <w:tc>
          <w:tcPr>
            <w:tcW w:w="1075" w:type="dxa"/>
            <w:vAlign w:val="center"/>
          </w:tcPr>
          <w:p>
            <w:r>
              <w:t>2006@3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1.35</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2.29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1.79</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4</w:t>
            </w:r>
          </w:p>
        </w:tc>
        <w:tc>
          <w:tcPr>
            <w:tcW w:w="820" w:type="dxa"/>
            <w:vMerge w:val="restart"/>
            <w:vAlign w:val="center"/>
          </w:tcPr>
          <w:p>
            <w:r>
              <w:t>1-J@4</w:t>
            </w:r>
          </w:p>
        </w:tc>
        <w:tc>
          <w:tcPr>
            <w:tcW w:w="1075" w:type="dxa"/>
            <w:vAlign w:val="center"/>
          </w:tcPr>
          <w:p>
            <w:r>
              <w:t>2005@4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1.75</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2.17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1-K@4</w:t>
            </w:r>
          </w:p>
        </w:tc>
        <w:tc>
          <w:tcPr>
            <w:tcW w:w="1075" w:type="dxa"/>
            <w:vAlign w:val="center"/>
          </w:tcPr>
          <w:p>
            <w:r>
              <w:t>2013@4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1.69</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2.30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1-L@4</w:t>
            </w:r>
          </w:p>
        </w:tc>
        <w:tc>
          <w:tcPr>
            <w:tcW w:w="1075" w:type="dxa"/>
            <w:vAlign w:val="center"/>
          </w:tcPr>
          <w:p>
            <w:r>
              <w:t>2014@4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1.52</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2.08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1-M@4</w:t>
            </w:r>
          </w:p>
        </w:tc>
        <w:tc>
          <w:tcPr>
            <w:tcW w:w="1075" w:type="dxa"/>
            <w:vAlign w:val="center"/>
          </w:tcPr>
          <w:p>
            <w:r>
              <w:t>2006@4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1.38</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2.26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1.84</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5</w:t>
            </w:r>
          </w:p>
        </w:tc>
        <w:tc>
          <w:tcPr>
            <w:tcW w:w="820" w:type="dxa"/>
            <w:vMerge w:val="restart"/>
            <w:vAlign w:val="center"/>
          </w:tcPr>
          <w:p>
            <w:r>
              <w:t>1-J@5</w:t>
            </w:r>
          </w:p>
        </w:tc>
        <w:tc>
          <w:tcPr>
            <w:tcW w:w="1075" w:type="dxa"/>
            <w:vAlign w:val="center"/>
          </w:tcPr>
          <w:p>
            <w:r>
              <w:t>2005@5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1.83</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2.26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1-K@5</w:t>
            </w:r>
          </w:p>
        </w:tc>
        <w:tc>
          <w:tcPr>
            <w:tcW w:w="1075" w:type="dxa"/>
            <w:vAlign w:val="center"/>
          </w:tcPr>
          <w:p>
            <w:r>
              <w:t>2013@5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1.75</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1-L@5</w:t>
            </w:r>
          </w:p>
        </w:tc>
        <w:tc>
          <w:tcPr>
            <w:tcW w:w="1075" w:type="dxa"/>
            <w:vAlign w:val="center"/>
          </w:tcPr>
          <w:p>
            <w:r>
              <w:t>2014@5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1.57</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2.19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1-M@5</w:t>
            </w:r>
          </w:p>
        </w:tc>
        <w:tc>
          <w:tcPr>
            <w:tcW w:w="1075" w:type="dxa"/>
            <w:vAlign w:val="center"/>
          </w:tcPr>
          <w:p>
            <w:r>
              <w:t>2006@5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1.46</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2.29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1.90</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6</w:t>
            </w:r>
          </w:p>
        </w:tc>
        <w:tc>
          <w:tcPr>
            <w:tcW w:w="820" w:type="dxa"/>
            <w:vMerge w:val="restart"/>
            <w:vAlign w:val="center"/>
          </w:tcPr>
          <w:p>
            <w:r>
              <w:t>1-J@6</w:t>
            </w:r>
          </w:p>
        </w:tc>
        <w:tc>
          <w:tcPr>
            <w:tcW w:w="1075" w:type="dxa"/>
            <w:vAlign w:val="center"/>
          </w:tcPr>
          <w:p>
            <w:r>
              <w:t>2005@6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1.91</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2.30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1-K@6</w:t>
            </w:r>
          </w:p>
        </w:tc>
        <w:tc>
          <w:tcPr>
            <w:tcW w:w="1075" w:type="dxa"/>
            <w:vAlign w:val="center"/>
          </w:tcPr>
          <w:p>
            <w:r>
              <w:t>2013@6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1.91</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2.27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2.47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1-L@6</w:t>
            </w:r>
          </w:p>
        </w:tc>
        <w:tc>
          <w:tcPr>
            <w:tcW w:w="1075" w:type="dxa"/>
            <w:vAlign w:val="center"/>
          </w:tcPr>
          <w:p>
            <w:r>
              <w:t>2014@6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1.63</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2.33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1-M@6</w:t>
            </w:r>
          </w:p>
        </w:tc>
        <w:tc>
          <w:tcPr>
            <w:tcW w:w="1075" w:type="dxa"/>
            <w:vAlign w:val="center"/>
          </w:tcPr>
          <w:p>
            <w:r>
              <w:t>2006@6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1.51</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2.28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1.96</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7</w:t>
            </w:r>
          </w:p>
        </w:tc>
        <w:tc>
          <w:tcPr>
            <w:tcW w:w="820" w:type="dxa"/>
            <w:vMerge w:val="restart"/>
            <w:vAlign w:val="center"/>
          </w:tcPr>
          <w:p>
            <w:r>
              <w:t>1-J@7</w:t>
            </w:r>
          </w:p>
        </w:tc>
        <w:tc>
          <w:tcPr>
            <w:tcW w:w="1075" w:type="dxa"/>
            <w:vAlign w:val="center"/>
          </w:tcPr>
          <w:p>
            <w:r>
              <w:t>2005@7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1.93</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2.37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1-K@7</w:t>
            </w:r>
          </w:p>
        </w:tc>
        <w:tc>
          <w:tcPr>
            <w:tcW w:w="1075" w:type="dxa"/>
            <w:vAlign w:val="center"/>
          </w:tcPr>
          <w:p>
            <w:r>
              <w:t>2013@7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1.93</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2.56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1-L@7</w:t>
            </w:r>
          </w:p>
        </w:tc>
        <w:tc>
          <w:tcPr>
            <w:tcW w:w="1075" w:type="dxa"/>
            <w:vAlign w:val="center"/>
          </w:tcPr>
          <w:p>
            <w:r>
              <w:t>2014@7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1.66</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1-M@7</w:t>
            </w:r>
          </w:p>
        </w:tc>
        <w:tc>
          <w:tcPr>
            <w:tcW w:w="1075" w:type="dxa"/>
            <w:vAlign w:val="center"/>
          </w:tcPr>
          <w:p>
            <w:r>
              <w:t>2006@7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1.58</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2.36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2.04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8</w:t>
            </w:r>
          </w:p>
        </w:tc>
        <w:tc>
          <w:tcPr>
            <w:tcW w:w="820" w:type="dxa"/>
            <w:vMerge w:val="restart"/>
            <w:vAlign w:val="center"/>
          </w:tcPr>
          <w:p>
            <w:r>
              <w:t>1-J@8</w:t>
            </w:r>
          </w:p>
        </w:tc>
        <w:tc>
          <w:tcPr>
            <w:tcW w:w="1075" w:type="dxa"/>
            <w:vAlign w:val="center"/>
          </w:tcPr>
          <w:p>
            <w:r>
              <w:t>2005@8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2.01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2.47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1-K@8</w:t>
            </w:r>
          </w:p>
        </w:tc>
        <w:tc>
          <w:tcPr>
            <w:tcW w:w="1075" w:type="dxa"/>
            <w:vAlign w:val="center"/>
          </w:tcPr>
          <w:p>
            <w:r>
              <w:t>2013@8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2.02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2.66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1-L@8</w:t>
            </w:r>
          </w:p>
        </w:tc>
        <w:tc>
          <w:tcPr>
            <w:tcW w:w="1075" w:type="dxa"/>
            <w:vAlign w:val="center"/>
          </w:tcPr>
          <w:p>
            <w:r>
              <w:t>2014@8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1.74</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2.52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1-M@8</w:t>
            </w:r>
          </w:p>
        </w:tc>
        <w:tc>
          <w:tcPr>
            <w:tcW w:w="1075" w:type="dxa"/>
            <w:vAlign w:val="center"/>
          </w:tcPr>
          <w:p>
            <w:r>
              <w:t>2006@8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1.66</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2.44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2.13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9</w:t>
            </w:r>
          </w:p>
        </w:tc>
        <w:tc>
          <w:tcPr>
            <w:tcW w:w="820" w:type="dxa"/>
            <w:vMerge w:val="restart"/>
            <w:vAlign w:val="center"/>
          </w:tcPr>
          <w:p>
            <w:r>
              <w:t>1-J@9</w:t>
            </w:r>
          </w:p>
        </w:tc>
        <w:tc>
          <w:tcPr>
            <w:tcW w:w="1075" w:type="dxa"/>
            <w:vAlign w:val="center"/>
          </w:tcPr>
          <w:p>
            <w:r>
              <w:t>2005@9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2.06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2017@9</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2032@9</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3001@9</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2.53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3007@9</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1-K@9</w:t>
            </w:r>
          </w:p>
        </w:tc>
        <w:tc>
          <w:tcPr>
            <w:tcW w:w="1075" w:type="dxa"/>
            <w:vAlign w:val="center"/>
          </w:tcPr>
          <w:p>
            <w:r>
              <w:t>2013@9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2.14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2025@9</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2029@9</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3002@9</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3005@9</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1-L@9</w:t>
            </w:r>
          </w:p>
        </w:tc>
        <w:tc>
          <w:tcPr>
            <w:tcW w:w="1075" w:type="dxa"/>
            <w:vAlign w:val="center"/>
          </w:tcPr>
          <w:p>
            <w:r>
              <w:t>2014@9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1.89</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2026@9</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2030@9</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3003@9</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2.61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3006@9</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1-M@9</w:t>
            </w:r>
          </w:p>
        </w:tc>
        <w:tc>
          <w:tcPr>
            <w:tcW w:w="1075" w:type="dxa"/>
            <w:vAlign w:val="center"/>
          </w:tcPr>
          <w:p>
            <w:r>
              <w:t>2006@9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1.74</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2016@9</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2.42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2018@9</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2031@9</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3004@9</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2.25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3008@9</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10</w:t>
            </w:r>
          </w:p>
        </w:tc>
        <w:tc>
          <w:tcPr>
            <w:tcW w:w="820" w:type="dxa"/>
            <w:vMerge w:val="restart"/>
            <w:vAlign w:val="center"/>
          </w:tcPr>
          <w:p>
            <w:r>
              <w:t>1-J@10</w:t>
            </w:r>
          </w:p>
        </w:tc>
        <w:tc>
          <w:tcPr>
            <w:tcW w:w="1075" w:type="dxa"/>
            <w:vAlign w:val="center"/>
          </w:tcPr>
          <w:p>
            <w:r>
              <w:t>2005@10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2.10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2017@10</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2032@10</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3001@10</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2.64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3007@10</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1-K@10</w:t>
            </w:r>
          </w:p>
        </w:tc>
        <w:tc>
          <w:tcPr>
            <w:tcW w:w="1075" w:type="dxa"/>
            <w:vAlign w:val="center"/>
          </w:tcPr>
          <w:p>
            <w:r>
              <w:t>2013@10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2.18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2025@10</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2029@10</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3002@10</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2.86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3005@10</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1-L@10</w:t>
            </w:r>
          </w:p>
        </w:tc>
        <w:tc>
          <w:tcPr>
            <w:tcW w:w="1075" w:type="dxa"/>
            <w:vAlign w:val="center"/>
          </w:tcPr>
          <w:p>
            <w:r>
              <w:t>2014@10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1.95</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2026@10</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2030@10</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3003@10</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2.76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3006@10</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1-M@10</w:t>
            </w:r>
          </w:p>
        </w:tc>
        <w:tc>
          <w:tcPr>
            <w:tcW w:w="1075" w:type="dxa"/>
            <w:vAlign w:val="center"/>
          </w:tcPr>
          <w:p>
            <w:r>
              <w:t>2006@10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1.89</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2016@10</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2.46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2018@10</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2031@10</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3004@10</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2.31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3008@10</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11</w:t>
            </w:r>
          </w:p>
        </w:tc>
        <w:tc>
          <w:tcPr>
            <w:tcW w:w="820" w:type="dxa"/>
            <w:vMerge w:val="restart"/>
            <w:vAlign w:val="center"/>
          </w:tcPr>
          <w:p>
            <w:r>
              <w:t>1-J@11</w:t>
            </w:r>
          </w:p>
        </w:tc>
        <w:tc>
          <w:tcPr>
            <w:tcW w:w="1075" w:type="dxa"/>
            <w:vAlign w:val="center"/>
          </w:tcPr>
          <w:p>
            <w:r>
              <w:t>2005@11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2.24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2017@11</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2032@11</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3001@11</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2.74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3007@11</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1-K@11</w:t>
            </w:r>
          </w:p>
        </w:tc>
        <w:tc>
          <w:tcPr>
            <w:tcW w:w="1075" w:type="dxa"/>
            <w:vAlign w:val="center"/>
          </w:tcPr>
          <w:p>
            <w:r>
              <w:t>2013@11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2.27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2.26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2025@11</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2029@11</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3002@11</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3.11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3005@11</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1-L@11</w:t>
            </w:r>
          </w:p>
        </w:tc>
        <w:tc>
          <w:tcPr>
            <w:tcW w:w="1075" w:type="dxa"/>
            <w:vAlign w:val="center"/>
          </w:tcPr>
          <w:p>
            <w:r>
              <w:t>2014@11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2.15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2026@11</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2030@11</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3003@11</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2.90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3006@11</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1-M@11</w:t>
            </w:r>
          </w:p>
        </w:tc>
        <w:tc>
          <w:tcPr>
            <w:tcW w:w="1075" w:type="dxa"/>
            <w:vAlign w:val="center"/>
          </w:tcPr>
          <w:p>
            <w:r>
              <w:t>2006@11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1.99</w:t>
            </w:r>
          </w:p>
        </w:tc>
        <w:tc>
          <w:tcPr>
            <w:tcW w:w="1301" w:type="dxa"/>
            <w:vAlign w:val="center"/>
          </w:tcPr>
          <w:p>
            <w:r>
              <w:t>2.00</w:t>
            </w:r>
          </w:p>
        </w:tc>
        <w:tc>
          <w:tcPr>
            <w:tcW w:w="1007"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2016@11</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2.50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2018@11</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2031@11</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3004@11</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2.49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3008@11</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12</w:t>
            </w:r>
          </w:p>
        </w:tc>
        <w:tc>
          <w:tcPr>
            <w:tcW w:w="820" w:type="dxa"/>
            <w:vMerge w:val="restart"/>
            <w:vAlign w:val="center"/>
          </w:tcPr>
          <w:p>
            <w:r>
              <w:t>1-J@12</w:t>
            </w:r>
          </w:p>
        </w:tc>
        <w:tc>
          <w:tcPr>
            <w:tcW w:w="1075" w:type="dxa"/>
            <w:vAlign w:val="center"/>
          </w:tcPr>
          <w:p>
            <w:r>
              <w:t>2005@12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2.29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2017@12</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2032@12</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2.82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3007@12</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1-K@12</w:t>
            </w:r>
          </w:p>
        </w:tc>
        <w:tc>
          <w:tcPr>
            <w:tcW w:w="1075" w:type="dxa"/>
            <w:vAlign w:val="center"/>
          </w:tcPr>
          <w:p>
            <w:r>
              <w:t>2013@12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2.38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2025@12</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2029@12</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3.12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3005@12</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1-L@12</w:t>
            </w:r>
          </w:p>
        </w:tc>
        <w:tc>
          <w:tcPr>
            <w:tcW w:w="1075" w:type="dxa"/>
            <w:vAlign w:val="center"/>
          </w:tcPr>
          <w:p>
            <w:r>
              <w:t>2014@12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2.20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2026@12</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2030@12</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3.05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3006@12</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1-M@12</w:t>
            </w:r>
          </w:p>
        </w:tc>
        <w:tc>
          <w:tcPr>
            <w:tcW w:w="1075" w:type="dxa"/>
            <w:vAlign w:val="center"/>
          </w:tcPr>
          <w:p>
            <w:r>
              <w:t>2006@12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2.04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2016@12</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2.62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2018@12</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2031@12</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3004@12</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2.60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3008@12</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13</w:t>
            </w:r>
          </w:p>
        </w:tc>
        <w:tc>
          <w:tcPr>
            <w:tcW w:w="820" w:type="dxa"/>
            <w:vMerge w:val="restart"/>
            <w:vAlign w:val="center"/>
          </w:tcPr>
          <w:p>
            <w:r>
              <w:t>1-J@13</w:t>
            </w:r>
          </w:p>
        </w:tc>
        <w:tc>
          <w:tcPr>
            <w:tcW w:w="1075" w:type="dxa"/>
            <w:vAlign w:val="center"/>
          </w:tcPr>
          <w:p>
            <w:r>
              <w:t>2005@13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2.42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2.93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1-K@13</w:t>
            </w:r>
          </w:p>
        </w:tc>
        <w:tc>
          <w:tcPr>
            <w:tcW w:w="1075" w:type="dxa"/>
            <w:vAlign w:val="center"/>
          </w:tcPr>
          <w:p>
            <w:r>
              <w:t>2013@13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2.57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3.30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1-L@13</w:t>
            </w:r>
          </w:p>
        </w:tc>
        <w:tc>
          <w:tcPr>
            <w:tcW w:w="1075" w:type="dxa"/>
            <w:vAlign w:val="center"/>
          </w:tcPr>
          <w:p>
            <w:r>
              <w:t>2014@13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2.33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3.24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1-M@13</w:t>
            </w:r>
          </w:p>
        </w:tc>
        <w:tc>
          <w:tcPr>
            <w:tcW w:w="1075" w:type="dxa"/>
            <w:vAlign w:val="center"/>
          </w:tcPr>
          <w:p>
            <w:r>
              <w:t>2006@13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2.23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2016@13</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2.62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2018@13</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2031@13</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3004@13</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2.73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3008@13</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14</w:t>
            </w:r>
          </w:p>
        </w:tc>
        <w:tc>
          <w:tcPr>
            <w:tcW w:w="820" w:type="dxa"/>
            <w:vMerge w:val="restart"/>
            <w:vAlign w:val="center"/>
          </w:tcPr>
          <w:p>
            <w:r>
              <w:t>1-J@14</w:t>
            </w:r>
          </w:p>
        </w:tc>
        <w:tc>
          <w:tcPr>
            <w:tcW w:w="1075" w:type="dxa"/>
            <w:vAlign w:val="center"/>
          </w:tcPr>
          <w:p>
            <w:r>
              <w:t>2005@14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2.50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3.07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1-K@14</w:t>
            </w:r>
          </w:p>
        </w:tc>
        <w:tc>
          <w:tcPr>
            <w:tcW w:w="1075" w:type="dxa"/>
            <w:vAlign w:val="center"/>
          </w:tcPr>
          <w:p>
            <w:r>
              <w:t>2013@14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2.60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3.47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1-L@14</w:t>
            </w:r>
          </w:p>
        </w:tc>
        <w:tc>
          <w:tcPr>
            <w:tcW w:w="1075" w:type="dxa"/>
            <w:vAlign w:val="center"/>
          </w:tcPr>
          <w:p>
            <w:r>
              <w:t>2014@14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2.49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3.32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1-M@14</w:t>
            </w:r>
          </w:p>
        </w:tc>
        <w:tc>
          <w:tcPr>
            <w:tcW w:w="1075" w:type="dxa"/>
            <w:vAlign w:val="center"/>
          </w:tcPr>
          <w:p>
            <w:r>
              <w:t>2006@14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2.34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2016@14</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2.66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2018@14</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2031@14</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3004@14</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2.87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3008@14</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15</w:t>
            </w:r>
          </w:p>
        </w:tc>
        <w:tc>
          <w:tcPr>
            <w:tcW w:w="820" w:type="dxa"/>
            <w:vMerge w:val="restart"/>
            <w:vAlign w:val="center"/>
          </w:tcPr>
          <w:p>
            <w:r>
              <w:t>1-J@15</w:t>
            </w:r>
          </w:p>
        </w:tc>
        <w:tc>
          <w:tcPr>
            <w:tcW w:w="1075" w:type="dxa"/>
            <w:vAlign w:val="center"/>
          </w:tcPr>
          <w:p>
            <w:r>
              <w:t>2005@15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2.59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3.17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1-K@15</w:t>
            </w:r>
          </w:p>
        </w:tc>
        <w:tc>
          <w:tcPr>
            <w:tcW w:w="1075" w:type="dxa"/>
            <w:vAlign w:val="center"/>
          </w:tcPr>
          <w:p>
            <w:r>
              <w:t>2013@15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2.75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3.53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1-L@15</w:t>
            </w:r>
          </w:p>
        </w:tc>
        <w:tc>
          <w:tcPr>
            <w:tcW w:w="1075" w:type="dxa"/>
            <w:vAlign w:val="center"/>
          </w:tcPr>
          <w:p>
            <w:r>
              <w:t>2014@15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2.62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2.47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3.50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1-M@15</w:t>
            </w:r>
          </w:p>
        </w:tc>
        <w:tc>
          <w:tcPr>
            <w:tcW w:w="1075" w:type="dxa"/>
            <w:vAlign w:val="center"/>
          </w:tcPr>
          <w:p>
            <w:r>
              <w:t>2006@15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2.43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2016@15</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2018@15</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2031@15</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3004@15</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3.01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3008@15</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16</w:t>
            </w:r>
          </w:p>
        </w:tc>
        <w:tc>
          <w:tcPr>
            <w:tcW w:w="820" w:type="dxa"/>
            <w:vMerge w:val="restart"/>
            <w:vAlign w:val="center"/>
          </w:tcPr>
          <w:p>
            <w:r>
              <w:t>1-J@16</w:t>
            </w:r>
          </w:p>
        </w:tc>
        <w:tc>
          <w:tcPr>
            <w:tcW w:w="1075" w:type="dxa"/>
            <w:vAlign w:val="center"/>
          </w:tcPr>
          <w:p>
            <w:r>
              <w:t>2005@16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2.66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3.31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1-K@16</w:t>
            </w:r>
          </w:p>
        </w:tc>
        <w:tc>
          <w:tcPr>
            <w:tcW w:w="1075" w:type="dxa"/>
            <w:vAlign w:val="center"/>
          </w:tcPr>
          <w:p>
            <w:r>
              <w:t>2013@16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2.83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2.39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3.65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1-L@16</w:t>
            </w:r>
          </w:p>
        </w:tc>
        <w:tc>
          <w:tcPr>
            <w:tcW w:w="1075" w:type="dxa"/>
            <w:vAlign w:val="center"/>
          </w:tcPr>
          <w:p>
            <w:r>
              <w:t>2014@16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2.68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2.51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3.59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1-M@16</w:t>
            </w:r>
          </w:p>
        </w:tc>
        <w:tc>
          <w:tcPr>
            <w:tcW w:w="1075" w:type="dxa"/>
            <w:vAlign w:val="center"/>
          </w:tcPr>
          <w:p>
            <w:r>
              <w:t>2006@16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2.54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2016@16</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2018@16</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2031@16</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3004@16</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3.18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3008@16</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17</w:t>
            </w:r>
          </w:p>
        </w:tc>
        <w:tc>
          <w:tcPr>
            <w:tcW w:w="820" w:type="dxa"/>
            <w:vMerge w:val="restart"/>
            <w:vAlign w:val="center"/>
          </w:tcPr>
          <w:p>
            <w:r>
              <w:t>1-J@17</w:t>
            </w:r>
          </w:p>
        </w:tc>
        <w:tc>
          <w:tcPr>
            <w:tcW w:w="1075" w:type="dxa"/>
            <w:vAlign w:val="center"/>
          </w:tcPr>
          <w:p>
            <w:r>
              <w:t>2005@17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2.72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3.37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1-K@17</w:t>
            </w:r>
          </w:p>
        </w:tc>
        <w:tc>
          <w:tcPr>
            <w:tcW w:w="1075" w:type="dxa"/>
            <w:vAlign w:val="center"/>
          </w:tcPr>
          <w:p>
            <w:r>
              <w:t>2013@17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2.96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2.53</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3.75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1-L@17</w:t>
            </w:r>
          </w:p>
        </w:tc>
        <w:tc>
          <w:tcPr>
            <w:tcW w:w="1075" w:type="dxa"/>
            <w:vAlign w:val="center"/>
          </w:tcPr>
          <w:p>
            <w:r>
              <w:t>2014@17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2.75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2.67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3.69</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1-M@17</w:t>
            </w:r>
          </w:p>
        </w:tc>
        <w:tc>
          <w:tcPr>
            <w:tcW w:w="1075" w:type="dxa"/>
            <w:vAlign w:val="center"/>
          </w:tcPr>
          <w:p>
            <w:r>
              <w:t>2006@17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2.61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2.72</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2016@17</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2.86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2018@17</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2031@17</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3004@17</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3.28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3008@17</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restart"/>
            <w:vAlign w:val="center"/>
          </w:tcPr>
          <w:p>
            <w:r>
              <w:t>18</w:t>
            </w:r>
          </w:p>
        </w:tc>
        <w:tc>
          <w:tcPr>
            <w:tcW w:w="820" w:type="dxa"/>
            <w:vMerge w:val="restart"/>
            <w:vAlign w:val="center"/>
          </w:tcPr>
          <w:p>
            <w:r>
              <w:t>1-J@18</w:t>
            </w:r>
          </w:p>
        </w:tc>
        <w:tc>
          <w:tcPr>
            <w:tcW w:w="1075" w:type="dxa"/>
            <w:vAlign w:val="center"/>
          </w:tcPr>
          <w:p>
            <w:r>
              <w:t>2005@18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2.76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2012@18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2.81</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2015@18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2.74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2017@18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2032@18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3001@18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3.40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3007@18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1-K@18</w:t>
            </w:r>
          </w:p>
        </w:tc>
        <w:tc>
          <w:tcPr>
            <w:tcW w:w="1075" w:type="dxa"/>
            <w:vAlign w:val="center"/>
          </w:tcPr>
          <w:p>
            <w:r>
              <w:t>2013@18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2.98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2019@18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2.57</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2025@18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2029@18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3002@18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3.85</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3005@18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1-L@18</w:t>
            </w:r>
          </w:p>
        </w:tc>
        <w:tc>
          <w:tcPr>
            <w:tcW w:w="1075" w:type="dxa"/>
            <w:vAlign w:val="center"/>
          </w:tcPr>
          <w:p>
            <w:r>
              <w:t>2014@18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8.91</w:t>
            </w:r>
          </w:p>
        </w:tc>
        <w:tc>
          <w:tcPr>
            <w:tcW w:w="1075" w:type="dxa"/>
            <w:vAlign w:val="center"/>
          </w:tcPr>
          <w:p>
            <w:r>
              <w:t>2.76</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2020@18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4.94</w:t>
            </w:r>
          </w:p>
        </w:tc>
        <w:tc>
          <w:tcPr>
            <w:tcW w:w="1075" w:type="dxa"/>
            <w:vAlign w:val="center"/>
          </w:tcPr>
          <w:p>
            <w:r>
              <w:t>2.84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2026@18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4.07</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2030@18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3.45</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3003@18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11.10</w:t>
            </w:r>
          </w:p>
        </w:tc>
        <w:tc>
          <w:tcPr>
            <w:tcW w:w="1075" w:type="dxa"/>
            <w:vAlign w:val="center"/>
          </w:tcPr>
          <w:p>
            <w:r>
              <w:t>3.78</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3006@18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10.86</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1-M@18</w:t>
            </w:r>
          </w:p>
        </w:tc>
        <w:tc>
          <w:tcPr>
            <w:tcW w:w="1075" w:type="dxa"/>
            <w:vAlign w:val="center"/>
          </w:tcPr>
          <w:p>
            <w:r>
              <w:t>2006@18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5" w:type="dxa"/>
            <w:vAlign w:val="center"/>
          </w:tcPr>
          <w:p>
            <w:r>
              <w:t>2.74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2011@18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9.20</w:t>
            </w:r>
          </w:p>
        </w:tc>
        <w:tc>
          <w:tcPr>
            <w:tcW w:w="1075" w:type="dxa"/>
            <w:vAlign w:val="center"/>
          </w:tcPr>
          <w:p>
            <w:r>
              <w:t>2.64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2016@18</w:t>
            </w:r>
          </w:p>
        </w:tc>
        <w:tc>
          <w:tcPr>
            <w:tcW w:w="1075"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7.96</w:t>
            </w:r>
          </w:p>
        </w:tc>
        <w:tc>
          <w:tcPr>
            <w:tcW w:w="1075" w:type="dxa"/>
            <w:vAlign w:val="center"/>
          </w:tcPr>
          <w:p>
            <w:r>
              <w:t>2.90</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2018@18</w:t>
            </w:r>
          </w:p>
        </w:tc>
        <w:tc>
          <w:tcPr>
            <w:tcW w:w="1075" w:type="dxa"/>
            <w:vAlign w:val="center"/>
          </w:tcPr>
          <w:p>
            <w:r>
              <w:t>厨房</w:t>
            </w:r>
          </w:p>
        </w:tc>
        <w:tc>
          <w:tcPr>
            <w:tcW w:w="735" w:type="dxa"/>
            <w:vAlign w:val="center"/>
          </w:tcPr>
          <w:p>
            <w:r>
              <w:t>IV</w:t>
            </w:r>
          </w:p>
        </w:tc>
        <w:tc>
          <w:tcPr>
            <w:tcW w:w="735" w:type="dxa"/>
            <w:vAlign w:val="center"/>
          </w:tcPr>
          <w:p>
            <w:r>
              <w:t>侧面</w:t>
            </w:r>
          </w:p>
        </w:tc>
        <w:tc>
          <w:tcPr>
            <w:tcW w:w="905" w:type="dxa"/>
            <w:vAlign w:val="center"/>
          </w:tcPr>
          <w:p>
            <w:r>
              <w:t>5.44</w:t>
            </w:r>
          </w:p>
        </w:tc>
        <w:tc>
          <w:tcPr>
            <w:tcW w:w="1075" w:type="dxa"/>
            <w:vAlign w:val="center"/>
          </w:tcPr>
          <w:p>
            <w:r>
              <w:t>0.00</w:t>
            </w:r>
          </w:p>
        </w:tc>
        <w:tc>
          <w:tcPr>
            <w:tcW w:w="1301" w:type="dxa"/>
            <w:vAlign w:val="center"/>
          </w:tcPr>
          <w:p>
            <w:r>
              <w:t>2.00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2031@18</w:t>
            </w:r>
          </w:p>
        </w:tc>
        <w:tc>
          <w:tcPr>
            <w:tcW w:w="1075" w:type="dxa"/>
            <w:vAlign w:val="center"/>
          </w:tcPr>
          <w:p>
            <w:r>
              <w:t>卫生间</w:t>
            </w:r>
          </w:p>
        </w:tc>
        <w:tc>
          <w:tcPr>
            <w:tcW w:w="735" w:type="dxa"/>
            <w:vAlign w:val="center"/>
          </w:tcPr>
          <w:p>
            <w:r>
              <w:t>V</w:t>
            </w:r>
          </w:p>
        </w:tc>
        <w:tc>
          <w:tcPr>
            <w:tcW w:w="735" w:type="dxa"/>
            <w:vAlign w:val="center"/>
          </w:tcPr>
          <w:p>
            <w:r>
              <w:t>侧面</w:t>
            </w:r>
          </w:p>
        </w:tc>
        <w:tc>
          <w:tcPr>
            <w:tcW w:w="905" w:type="dxa"/>
            <w:vAlign w:val="center"/>
          </w:tcPr>
          <w:p>
            <w:r>
              <w:t>2.88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3004@18</w:t>
            </w:r>
          </w:p>
        </w:tc>
        <w:tc>
          <w:tcPr>
            <w:tcW w:w="1075"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19.37</w:t>
            </w:r>
          </w:p>
        </w:tc>
        <w:tc>
          <w:tcPr>
            <w:tcW w:w="1075" w:type="dxa"/>
            <w:vAlign w:val="center"/>
          </w:tcPr>
          <w:p>
            <w:r>
              <w:t>3.34</w:t>
            </w:r>
          </w:p>
        </w:tc>
        <w:tc>
          <w:tcPr>
            <w:tcW w:w="1301" w:type="dxa"/>
            <w:vAlign w:val="center"/>
          </w:tcPr>
          <w:p>
            <w:r>
              <w:t>2.00</w:t>
            </w:r>
          </w:p>
        </w:tc>
        <w:tc>
          <w:tcPr>
            <w:tcW w:w="1007"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3008@18</w:t>
            </w:r>
          </w:p>
        </w:tc>
        <w:tc>
          <w:tcPr>
            <w:tcW w:w="1075" w:type="dxa"/>
            <w:vAlign w:val="center"/>
          </w:tcPr>
          <w:p>
            <w:r>
              <w:t>过道</w:t>
            </w:r>
          </w:p>
        </w:tc>
        <w:tc>
          <w:tcPr>
            <w:tcW w:w="735" w:type="dxa"/>
            <w:vAlign w:val="center"/>
          </w:tcPr>
          <w:p>
            <w:r>
              <w:t>V</w:t>
            </w:r>
          </w:p>
        </w:tc>
        <w:tc>
          <w:tcPr>
            <w:tcW w:w="735" w:type="dxa"/>
            <w:vAlign w:val="center"/>
          </w:tcPr>
          <w:p>
            <w:r>
              <w:t>侧面</w:t>
            </w:r>
          </w:p>
        </w:tc>
        <w:tc>
          <w:tcPr>
            <w:tcW w:w="905" w:type="dxa"/>
            <w:vAlign w:val="center"/>
          </w:tcPr>
          <w:p>
            <w:r>
              <w:t>14.48</w:t>
            </w:r>
          </w:p>
        </w:tc>
        <w:tc>
          <w:tcPr>
            <w:tcW w:w="1075" w:type="dxa"/>
            <w:vAlign w:val="center"/>
          </w:tcPr>
          <w:p>
            <w:r>
              <w:t>0.00</w:t>
            </w:r>
          </w:p>
        </w:tc>
        <w:tc>
          <w:tcPr>
            <w:tcW w:w="1301" w:type="dxa"/>
            <w:vAlign w:val="center"/>
          </w:tcPr>
          <w:p>
            <w:r>
              <w:t>1.00</w:t>
            </w:r>
          </w:p>
        </w:tc>
        <w:tc>
          <w:tcPr>
            <w:tcW w:w="1007" w:type="dxa"/>
            <w:vAlign w:val="center"/>
          </w:tcPr>
          <w:p>
            <w:r>
              <w:rPr>
                <w:color w:val="FF00FF"/>
              </w:rPr>
              <w:t>未计算</w:t>
            </w:r>
          </w:p>
        </w:tc>
      </w:tr>
    </w:tbl>
    <w:p>
      <w:pPr>
        <w:pStyle w:val="3"/>
        <w:ind w:firstLine="420"/>
        <w:rPr>
          <w:lang w:val="en-US"/>
        </w:rPr>
      </w:pPr>
    </w:p>
    <w:p>
      <w:pPr>
        <w:pStyle w:val="4"/>
      </w:pPr>
      <w:bookmarkStart w:id="75" w:name="_Toc26428"/>
      <w:r>
        <w:rPr>
          <w:rFonts w:hint="eastAsia"/>
        </w:rPr>
        <w:t>户型统计结果</w:t>
      </w:r>
      <w:bookmarkEnd w:id="75"/>
    </w:p>
    <w:p>
      <w:pPr>
        <w:pStyle w:val="3"/>
        <w:ind w:firstLine="420"/>
        <w:rPr>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67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0"/>
        <w:gridCol w:w="2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0" w:type="dxa"/>
            <w:vAlign w:val="center"/>
          </w:tcPr>
          <w:p>
            <w:pPr>
              <w:rPr>
                <w:lang w:val="en-US"/>
              </w:rPr>
            </w:pPr>
            <w:r>
              <w:rPr>
                <w:rFonts w:hint="eastAsia"/>
                <w:lang w:val="en-US"/>
              </w:rPr>
              <w:t>总户数</w:t>
            </w:r>
          </w:p>
        </w:tc>
        <w:tc>
          <w:tcPr>
            <w:tcW w:w="2260" w:type="dxa"/>
            <w:vAlign w:val="center"/>
          </w:tcPr>
          <w:p>
            <w:pPr>
              <w:rPr>
                <w:lang w:val="en-US"/>
              </w:rPr>
            </w:pPr>
            <w:r>
              <w:rPr>
                <w:rFonts w:hint="eastAsia"/>
                <w:lang w:val="en-US"/>
              </w:rPr>
              <w:t>达标户数</w:t>
            </w:r>
          </w:p>
        </w:tc>
        <w:tc>
          <w:tcPr>
            <w:tcW w:w="2260" w:type="dxa"/>
            <w:vAlign w:val="center"/>
          </w:tcPr>
          <w:p>
            <w:pPr>
              <w:rPr>
                <w:lang w:val="en-US"/>
              </w:rPr>
            </w:pPr>
            <w:r>
              <w:rPr>
                <w:rFonts w:hint="eastAsia"/>
                <w:lang w:val="en-US"/>
              </w:rPr>
              <w:t>不达标户数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0" w:type="dxa"/>
            <w:vAlign w:val="center"/>
          </w:tcPr>
          <w:p>
            <w:pPr>
              <w:rPr>
                <w:lang w:val="en-US"/>
              </w:rPr>
            </w:pPr>
            <w:bookmarkStart w:id="76" w:name="总户数1"/>
            <w:r>
              <w:t>72</w:t>
            </w:r>
            <w:bookmarkEnd w:id="76"/>
          </w:p>
        </w:tc>
        <w:tc>
          <w:tcPr>
            <w:tcW w:w="2260" w:type="dxa"/>
            <w:vAlign w:val="center"/>
          </w:tcPr>
          <w:p>
            <w:pPr>
              <w:rPr>
                <w:lang w:val="en-US"/>
              </w:rPr>
            </w:pPr>
            <w:bookmarkStart w:id="77" w:name="达标户数1"/>
            <w:r>
              <w:t>72</w:t>
            </w:r>
            <w:bookmarkEnd w:id="77"/>
          </w:p>
        </w:tc>
        <w:tc>
          <w:tcPr>
            <w:tcW w:w="2260" w:type="dxa"/>
            <w:vAlign w:val="center"/>
          </w:tcPr>
          <w:p>
            <w:pPr>
              <w:rPr>
                <w:lang w:val="en-US"/>
              </w:rPr>
            </w:pPr>
            <w:bookmarkStart w:id="78" w:name="不达标户数1"/>
            <w:r>
              <w:t>0</w:t>
            </w:r>
            <w:bookmarkEnd w:id="78"/>
          </w:p>
        </w:tc>
      </w:tr>
    </w:tbl>
    <w:p>
      <w:pPr>
        <w:pStyle w:val="3"/>
        <w:spacing w:line="360" w:lineRule="exact"/>
        <w:ind w:firstLine="420"/>
      </w:pPr>
    </w:p>
    <w:p>
      <w:pPr>
        <w:pStyle w:val="3"/>
        <w:ind w:firstLine="420"/>
        <w:rPr>
          <w:lang w:val="en-US"/>
        </w:rPr>
      </w:pPr>
      <w:bookmarkStart w:id="87" w:name="_GoBack"/>
      <w:bookmarkEnd w:id="87"/>
    </w:p>
    <w:p>
      <w:pPr>
        <w:pStyle w:val="2"/>
      </w:pPr>
      <w:bookmarkStart w:id="79" w:name="_Toc20804"/>
      <w:r>
        <w:rPr>
          <w:rFonts w:hint="eastAsia"/>
        </w:rPr>
        <w:t>采光</w:t>
      </w:r>
      <w:r>
        <w:t>效果分析</w:t>
      </w:r>
      <w:r>
        <w:rPr>
          <w:rFonts w:hint="eastAsia"/>
        </w:rPr>
        <w:t>彩图</w:t>
      </w:r>
      <w:bookmarkEnd w:id="79"/>
    </w:p>
    <w:p>
      <w:pPr>
        <w:pStyle w:val="3"/>
        <w:spacing w:line="360" w:lineRule="exact"/>
        <w:ind w:firstLine="420"/>
        <w:rPr>
          <w:lang w:val="en-US"/>
        </w:rPr>
      </w:pPr>
      <w:r>
        <w:rPr>
          <w:rFonts w:hint="eastAsia"/>
          <w:lang w:val="en-US"/>
        </w:rPr>
        <w:t>采光系数分析彩图可以直观地反应建筑内各个房间的采光效果，本项目中各楼层中主要功能房间的室内采光系数情况如下所示：</w:t>
      </w:r>
    </w:p>
    <w:p>
      <w:pPr>
        <w:rPr>
          <w:lang w:val="en-US"/>
        </w:rPr>
      </w:pPr>
      <w:bookmarkStart w:id="80" w:name="彩图"/>
      <w:bookmarkEnd w:id="80"/>
    </w:p>
    <w:p>
      <w:pPr>
        <w:pStyle w:val="3"/>
        <w:tabs>
          <w:tab w:val="left" w:pos="900"/>
        </w:tabs>
        <w:jc w:val="center"/>
        <w:rPr>
          <w:lang w:val="en-US"/>
        </w:rPr>
      </w:pPr>
      <w:r>
        <w:drawing>
          <wp:inline distT="0" distB="0" distL="0" distR="0">
            <wp:extent cx="5667375" cy="2228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9"/>
                    <a:stretch>
                      <a:fillRect/>
                    </a:stretch>
                  </pic:blipFill>
                  <pic:spPr>
                    <a:xfrm>
                      <a:off x="0" y="0"/>
                      <a:ext cx="5667375" cy="2228850"/>
                    </a:xfrm>
                    <a:prstGeom prst="rect">
                      <a:avLst/>
                    </a:prstGeom>
                  </pic:spPr>
                </pic:pic>
              </a:graphicData>
            </a:graphic>
          </wp:inline>
        </w:drawing>
      </w:r>
    </w:p>
    <w:p>
      <w:pPr>
        <w:pStyle w:val="3"/>
        <w:tabs>
          <w:tab w:val="left" w:pos="900"/>
        </w:tabs>
        <w:jc w:val="center"/>
        <w:rPr>
          <w:lang w:val="en-US"/>
        </w:rPr>
      </w:pPr>
      <w:r>
        <w:rPr>
          <w:lang w:val="en-US"/>
        </w:rPr>
        <w:t>1层</w:t>
      </w:r>
    </w:p>
    <w:p>
      <w:pPr>
        <w:pStyle w:val="3"/>
        <w:tabs>
          <w:tab w:val="left" w:pos="900"/>
        </w:tabs>
        <w:jc w:val="center"/>
        <w:rPr>
          <w:lang w:val="en-US"/>
        </w:rPr>
      </w:pPr>
      <w:r>
        <w:drawing>
          <wp:inline distT="0" distB="0" distL="0" distR="0">
            <wp:extent cx="5667375" cy="2228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0"/>
                    <a:stretch>
                      <a:fillRect/>
                    </a:stretch>
                  </pic:blipFill>
                  <pic:spPr>
                    <a:xfrm>
                      <a:off x="0" y="0"/>
                      <a:ext cx="5667375" cy="2228850"/>
                    </a:xfrm>
                    <a:prstGeom prst="rect">
                      <a:avLst/>
                    </a:prstGeom>
                  </pic:spPr>
                </pic:pic>
              </a:graphicData>
            </a:graphic>
          </wp:inline>
        </w:drawing>
      </w:r>
    </w:p>
    <w:p>
      <w:pPr>
        <w:pStyle w:val="3"/>
        <w:tabs>
          <w:tab w:val="left" w:pos="900"/>
        </w:tabs>
        <w:jc w:val="center"/>
        <w:rPr>
          <w:lang w:val="en-US"/>
        </w:rPr>
      </w:pPr>
      <w:r>
        <w:rPr>
          <w:lang w:val="en-US"/>
        </w:rPr>
        <w:t>2层</w:t>
      </w:r>
    </w:p>
    <w:p>
      <w:pPr>
        <w:pStyle w:val="3"/>
        <w:tabs>
          <w:tab w:val="left" w:pos="900"/>
        </w:tabs>
        <w:jc w:val="center"/>
        <w:rPr>
          <w:lang w:val="en-US"/>
        </w:rPr>
      </w:pPr>
      <w:r>
        <w:drawing>
          <wp:inline distT="0" distB="0" distL="0" distR="0">
            <wp:extent cx="5667375" cy="2228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5667375" cy="2228850"/>
                    </a:xfrm>
                    <a:prstGeom prst="rect">
                      <a:avLst/>
                    </a:prstGeom>
                  </pic:spPr>
                </pic:pic>
              </a:graphicData>
            </a:graphic>
          </wp:inline>
        </w:drawing>
      </w:r>
    </w:p>
    <w:p>
      <w:pPr>
        <w:pStyle w:val="3"/>
        <w:tabs>
          <w:tab w:val="left" w:pos="900"/>
        </w:tabs>
        <w:jc w:val="center"/>
        <w:rPr>
          <w:lang w:val="en-US"/>
        </w:rPr>
      </w:pPr>
      <w:r>
        <w:rPr>
          <w:lang w:val="en-US"/>
        </w:rPr>
        <w:t>3层</w:t>
      </w:r>
    </w:p>
    <w:p>
      <w:pPr>
        <w:pStyle w:val="3"/>
        <w:tabs>
          <w:tab w:val="left" w:pos="900"/>
        </w:tabs>
        <w:jc w:val="center"/>
        <w:rPr>
          <w:lang w:val="en-US"/>
        </w:rPr>
      </w:pPr>
    </w:p>
    <w:p>
      <w:pPr>
        <w:pStyle w:val="2"/>
      </w:pPr>
      <w:bookmarkStart w:id="81" w:name="_Toc2086"/>
      <w:r>
        <w:rPr>
          <w:rFonts w:hint="eastAsia"/>
        </w:rPr>
        <w:t>结论</w:t>
      </w:r>
      <w:bookmarkEnd w:id="81"/>
    </w:p>
    <w:p>
      <w:pPr>
        <w:pStyle w:val="3"/>
        <w:tabs>
          <w:tab w:val="left" w:pos="900"/>
        </w:tabs>
        <w:spacing w:after="156" w:afterLines="50" w:line="360" w:lineRule="exact"/>
        <w:ind w:firstLine="420"/>
        <w:rPr>
          <w:rFonts w:asciiTheme="minorEastAsia" w:hAnsiTheme="minorEastAsia" w:eastAsiaTheme="minorEastAsia"/>
          <w:lang w:val="en-US"/>
        </w:rPr>
      </w:pPr>
      <w:r>
        <w:rPr>
          <w:rFonts w:hint="eastAsia"/>
          <w:lang w:val="en-US"/>
        </w:rPr>
        <w:t>通过对本建筑的采光模拟和统计分析，依据《建筑采光设计标准》</w:t>
      </w:r>
      <w:r>
        <w:rPr>
          <w:lang w:val="en-US"/>
        </w:rPr>
        <w:t>GB 50033-2013</w:t>
      </w:r>
      <w:r>
        <w:rPr>
          <w:rFonts w:hint="eastAsia"/>
          <w:lang w:val="en-US"/>
        </w:rPr>
        <w:t>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50352-2019对住宅建筑的采光要求，本建筑总户数</w:t>
      </w:r>
      <w:bookmarkStart w:id="82" w:name="总户数"/>
      <w:r>
        <w:t>72</w:t>
      </w:r>
      <w:bookmarkEnd w:id="82"/>
      <w:r>
        <w:rPr>
          <w:rFonts w:hint="eastAsia"/>
        </w:rPr>
        <w:t>，其中</w:t>
      </w:r>
      <w:r>
        <w:rPr>
          <w:rFonts w:hint="eastAsia"/>
          <w:lang w:val="en-US"/>
        </w:rPr>
        <w:t>达标户数</w:t>
      </w:r>
      <w:bookmarkStart w:id="83" w:name="达标户数"/>
      <w:r>
        <w:t>72</w:t>
      </w:r>
      <w:bookmarkEnd w:id="83"/>
      <w:r>
        <w:rPr>
          <w:rFonts w:hint="eastAsia"/>
          <w:lang w:val="en-US"/>
        </w:rPr>
        <w:t>，未达标户数</w:t>
      </w:r>
      <w:bookmarkStart w:id="84" w:name="不达标户数"/>
      <w:r>
        <w:t>0</w:t>
      </w:r>
      <w:bookmarkEnd w:id="84"/>
      <w:r>
        <w:rPr>
          <w:rFonts w:hint="eastAsia"/>
        </w:rPr>
        <w:t>，本项目</w:t>
      </w:r>
      <w:bookmarkStart w:id="85" w:name="户型达标结论"/>
      <w:r>
        <w:rPr>
          <w:rFonts w:hint="eastAsia"/>
        </w:rPr>
        <w:t>达标</w:t>
      </w:r>
      <w:bookmarkEnd w:id="85"/>
      <w:r>
        <w:rPr>
          <w:rFonts w:hint="eastAsia"/>
        </w:rPr>
        <w:t>。</w:t>
      </w:r>
    </w:p>
    <w:p>
      <w:pPr>
        <w:pStyle w:val="3"/>
        <w:rPr>
          <w:lang w:val="en-US"/>
        </w:rPr>
      </w:pPr>
    </w:p>
    <w:p>
      <w:pPr>
        <w:pStyle w:val="3"/>
        <w:rPr>
          <w:lang w:val="en-US"/>
        </w:rPr>
      </w:pPr>
    </w:p>
    <w:p>
      <w:pPr>
        <w:pStyle w:val="3"/>
        <w:tabs>
          <w:tab w:val="left" w:pos="900"/>
        </w:tabs>
        <w:rPr>
          <w:lang w:val="en-US"/>
        </w:rPr>
      </w:pPr>
    </w:p>
    <w:p>
      <w:pPr>
        <w:spacing w:line="240" w:lineRule="auto"/>
        <w:jc w:val="left"/>
        <w:rPr>
          <w:b/>
          <w:sz w:val="28"/>
          <w:szCs w:val="28"/>
          <w:lang w:val="en-US"/>
        </w:rPr>
      </w:pPr>
      <w:r>
        <w:rPr>
          <w:lang w:val="en-US"/>
        </w:rPr>
        <w:br w:type="page"/>
      </w:r>
      <w:r>
        <w:rPr>
          <w:lang w:val="en-US"/>
        </w:rPr>
        <w:t xml:space="preserve"> </w:t>
      </w:r>
      <w:r>
        <w:rPr>
          <w:rFonts w:hint="eastAsia"/>
          <w:b/>
          <w:sz w:val="28"/>
          <w:szCs w:val="28"/>
          <w:lang w:val="en-US"/>
        </w:rPr>
        <w:t>附：项目总平面图</w:t>
      </w:r>
    </w:p>
    <w:p>
      <w:pPr>
        <w:pStyle w:val="3"/>
        <w:jc w:val="center"/>
        <w:rPr>
          <w:sz w:val="28"/>
          <w:szCs w:val="28"/>
          <w:lang w:val="en-US"/>
        </w:rPr>
      </w:pPr>
      <w:bookmarkStart w:id="86" w:name="总平面图"/>
      <w:bookmarkEnd w:id="86"/>
      <w:r>
        <w:drawing>
          <wp:inline distT="0" distB="0" distL="0" distR="0">
            <wp:extent cx="5667375" cy="50673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5067300"/>
                    </a:xfrm>
                    <a:prstGeom prst="rect">
                      <a:avLst/>
                    </a:prstGeom>
                  </pic:spPr>
                </pic:pic>
              </a:graphicData>
            </a:graphic>
          </wp:inline>
        </w:drawing>
      </w:r>
    </w:p>
    <w:p>
      <w:pPr>
        <w:pStyle w:val="3"/>
        <w:jc w:val="center"/>
        <w:rPr>
          <w:sz w:val="28"/>
          <w:szCs w:val="28"/>
          <w:lang w:val="en-US"/>
        </w:rPr>
      </w:pPr>
    </w:p>
    <w:p/>
    <w:sectPr>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r>
      <w:rPr>
        <w:rFonts w:ascii="微软雅黑" w:hAnsi="微软雅黑" w:eastAsia="微软雅黑"/>
      </w:rPr>
      <w:t>202</w:t>
    </w:r>
    <w:r>
      <w:rPr>
        <w:rFonts w:hint="eastAsia" w:ascii="微软雅黑" w:hAnsi="微软雅黑" w:eastAsia="微软雅黑"/>
      </w:rPr>
      <w:t>2</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BA57B2"/>
    <w:rsid w:val="0000161E"/>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616C"/>
    <w:rsid w:val="000C2EF9"/>
    <w:rsid w:val="000C3722"/>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4EE7"/>
    <w:rsid w:val="002D7842"/>
    <w:rsid w:val="002E6FC7"/>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807"/>
    <w:rsid w:val="0040698B"/>
    <w:rsid w:val="00413082"/>
    <w:rsid w:val="004140D8"/>
    <w:rsid w:val="004142EF"/>
    <w:rsid w:val="00414C53"/>
    <w:rsid w:val="00422A05"/>
    <w:rsid w:val="0042654D"/>
    <w:rsid w:val="00426C2B"/>
    <w:rsid w:val="004315D3"/>
    <w:rsid w:val="00431AD1"/>
    <w:rsid w:val="004416CE"/>
    <w:rsid w:val="004511B0"/>
    <w:rsid w:val="00452417"/>
    <w:rsid w:val="00454D77"/>
    <w:rsid w:val="00455D17"/>
    <w:rsid w:val="004606F9"/>
    <w:rsid w:val="00461600"/>
    <w:rsid w:val="00462EFD"/>
    <w:rsid w:val="0047512A"/>
    <w:rsid w:val="004839C8"/>
    <w:rsid w:val="00493F69"/>
    <w:rsid w:val="00495AAA"/>
    <w:rsid w:val="004A39AE"/>
    <w:rsid w:val="004A5381"/>
    <w:rsid w:val="004A5BC2"/>
    <w:rsid w:val="004B63AF"/>
    <w:rsid w:val="004B63BA"/>
    <w:rsid w:val="004B7117"/>
    <w:rsid w:val="004B721C"/>
    <w:rsid w:val="004C18E3"/>
    <w:rsid w:val="004D0938"/>
    <w:rsid w:val="004D230F"/>
    <w:rsid w:val="004D449D"/>
    <w:rsid w:val="004E1A3A"/>
    <w:rsid w:val="004F181A"/>
    <w:rsid w:val="005110A9"/>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92C7E"/>
    <w:rsid w:val="005A0064"/>
    <w:rsid w:val="005A7B3E"/>
    <w:rsid w:val="005B290E"/>
    <w:rsid w:val="005B5A6C"/>
    <w:rsid w:val="005D14F5"/>
    <w:rsid w:val="005D1EDD"/>
    <w:rsid w:val="005E6722"/>
    <w:rsid w:val="005E68D9"/>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A22D1"/>
    <w:rsid w:val="007A272D"/>
    <w:rsid w:val="007A2817"/>
    <w:rsid w:val="007B1E12"/>
    <w:rsid w:val="007C100C"/>
    <w:rsid w:val="007C324F"/>
    <w:rsid w:val="007C3470"/>
    <w:rsid w:val="007C4E38"/>
    <w:rsid w:val="007D19BF"/>
    <w:rsid w:val="007D2688"/>
    <w:rsid w:val="007E37DA"/>
    <w:rsid w:val="007E75C8"/>
    <w:rsid w:val="007E7920"/>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5684"/>
    <w:rsid w:val="009360C1"/>
    <w:rsid w:val="009363FF"/>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5C97"/>
    <w:rsid w:val="00AE19C8"/>
    <w:rsid w:val="00AF050E"/>
    <w:rsid w:val="00AF5445"/>
    <w:rsid w:val="00B04B9D"/>
    <w:rsid w:val="00B30374"/>
    <w:rsid w:val="00B305EB"/>
    <w:rsid w:val="00B364B6"/>
    <w:rsid w:val="00B41640"/>
    <w:rsid w:val="00B43D6A"/>
    <w:rsid w:val="00B55B22"/>
    <w:rsid w:val="00B60841"/>
    <w:rsid w:val="00B634AB"/>
    <w:rsid w:val="00B746B8"/>
    <w:rsid w:val="00B77743"/>
    <w:rsid w:val="00B919EF"/>
    <w:rsid w:val="00BB3B23"/>
    <w:rsid w:val="00BD2877"/>
    <w:rsid w:val="00BE09AC"/>
    <w:rsid w:val="00C07EC2"/>
    <w:rsid w:val="00C257AB"/>
    <w:rsid w:val="00C31583"/>
    <w:rsid w:val="00C3168B"/>
    <w:rsid w:val="00C37F41"/>
    <w:rsid w:val="00C44808"/>
    <w:rsid w:val="00C57C49"/>
    <w:rsid w:val="00C607E2"/>
    <w:rsid w:val="00C63237"/>
    <w:rsid w:val="00C67778"/>
    <w:rsid w:val="00C72CFF"/>
    <w:rsid w:val="00C8032E"/>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14A90"/>
    <w:rsid w:val="00E25349"/>
    <w:rsid w:val="00E25E8C"/>
    <w:rsid w:val="00E429C8"/>
    <w:rsid w:val="00E42F38"/>
    <w:rsid w:val="00E62202"/>
    <w:rsid w:val="00E70768"/>
    <w:rsid w:val="00E71049"/>
    <w:rsid w:val="00E74F22"/>
    <w:rsid w:val="00E81ACD"/>
    <w:rsid w:val="00E950A3"/>
    <w:rsid w:val="00EA5131"/>
    <w:rsid w:val="00EB3742"/>
    <w:rsid w:val="00EB450B"/>
    <w:rsid w:val="00EB65C7"/>
    <w:rsid w:val="00ED3F17"/>
    <w:rsid w:val="00EE0F57"/>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 w:val="0FBA5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4"/>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uiPriority w:val="0"/>
    <w:pPr>
      <w:ind w:left="1260" w:leftChars="600"/>
    </w:pPr>
  </w:style>
  <w:style w:type="paragraph" w:styleId="19">
    <w:name w:val="toc 2"/>
    <w:basedOn w:val="1"/>
    <w:next w:val="1"/>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Hyperlink"/>
    <w:qFormat/>
    <w:uiPriority w:val="99"/>
    <w:rPr>
      <w:color w:val="0000FF"/>
      <w:u w:val="single"/>
    </w:rPr>
  </w:style>
  <w:style w:type="character" w:customStyle="1" w:styleId="24">
    <w:name w:val="正文文本缩进 字符"/>
    <w:link w:val="13"/>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279A7-FDEF-4F15-B3F8-78F34D5E147A}">
  <ds:schemaRefs/>
</ds:datastoreItem>
</file>

<file path=docProps/app.xml><?xml version="1.0" encoding="utf-8"?>
<Properties xmlns="http://schemas.openxmlformats.org/officeDocument/2006/extended-properties" xmlns:vt="http://schemas.openxmlformats.org/officeDocument/2006/docPropsVTypes">
  <Template>tmp1.dotx</Template>
  <Pages>24</Pages>
  <Words>9018</Words>
  <Characters>17375</Characters>
  <Lines>36</Lines>
  <Paragraphs>10</Paragraphs>
  <TotalTime>3</TotalTime>
  <ScaleCrop>false</ScaleCrop>
  <LinksUpToDate>false</LinksUpToDate>
  <CharactersWithSpaces>17496</CharactersWithSpaces>
  <Application>WPS Office_11.8.6.8595_F1E327BC-269C-435d-A152-05C5408002CA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2022-01-07T08:44:00Z</dcterms:created>
  <dc:creator>我可是小老虎</dc:creator>
  <cp:lastModifiedBy>我可是小老虎</cp:lastModifiedBy>
  <dcterms:modified xsi:type="dcterms:W3CDTF">2022-01-07T08:48:33Z</dcterms:modified>
  <dc:title>建筑采光分析报告书</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2052-11.8.6.8595</vt:lpwstr>
  </property>
</Properties>
</file>