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4.2.7  采取措施降低热岛强度。（总分 4 分）</w:t>
      </w:r>
    </w:p>
    <w:p>
      <w:pPr>
        <w:spacing w:line="320" w:lineRule="exact"/>
        <w:rPr>
          <w:b/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bCs/>
          <w:color w:val="000000"/>
        </w:rPr>
        <w:t>1</w:t>
      </w:r>
      <w:r>
        <w:rPr>
          <w:rFonts w:ascii="Times New Roman" w:hAnsi="Times New Roman"/>
          <w:b/>
          <w:color w:val="000000"/>
          <w:spacing w:val="1"/>
        </w:rPr>
        <w:t>）得</w:t>
      </w:r>
      <w:r>
        <w:rPr>
          <w:rFonts w:ascii="Times New Roman" w:hAnsi="Times New Roman"/>
          <w:b/>
          <w:color w:val="000000"/>
        </w:rPr>
        <w:t>分</w:t>
      </w:r>
      <w:r>
        <w:rPr>
          <w:rFonts w:ascii="Times New Roman" w:hAnsi="Times New Roman"/>
          <w:b/>
          <w:color w:val="000000"/>
          <w:spacing w:val="1"/>
        </w:rPr>
        <w:t>自评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3711"/>
        <w:gridCol w:w="1958"/>
        <w:gridCol w:w="1003"/>
        <w:gridCol w:w="10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exac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序 号</w:t>
            </w:r>
          </w:p>
        </w:tc>
        <w:tc>
          <w:tcPr>
            <w:tcW w:w="3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值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2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红线范围内户外活动场地有乔木、构筑物遮荫措施的面积比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达到</w:t>
            </w:r>
            <w:r>
              <w:rPr>
                <w:rFonts w:ascii="Times New Roman" w:hAnsi="Times New Roman"/>
                <w:color w:val="000000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10%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3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达到</w:t>
            </w:r>
            <w:r>
              <w:rPr>
                <w:rFonts w:ascii="Times New Roman" w:hAnsi="Times New Roman"/>
                <w:color w:val="000000"/>
                <w:spacing w:val="-4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20%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超过</w:t>
            </w:r>
            <w:r>
              <w:rPr>
                <w:rFonts w:ascii="Times New Roman" w:hAnsi="Times New Roman"/>
                <w:color w:val="000000"/>
                <w:spacing w:val="-4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70%的道路路面、建筑屋面的太阳辐射反射系数不低于</w:t>
            </w:r>
            <w:r>
              <w:rPr>
                <w:rFonts w:ascii="Times New Roman" w:hAnsi="Times New Roman"/>
                <w:color w:val="000000"/>
                <w:spacing w:val="-4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0.4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4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</w:tr>
    </w:tbl>
    <w:p>
      <w:pPr>
        <w:spacing w:line="320" w:lineRule="exact"/>
        <w:rPr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2</w:t>
      </w:r>
      <w:r>
        <w:rPr>
          <w:rFonts w:ascii="Times New Roman" w:hAnsi="Times New Roman"/>
          <w:b/>
          <w:color w:val="000000"/>
          <w:spacing w:val="1"/>
          <w:lang w:eastAsia="zh-CN"/>
        </w:rPr>
        <w:t>）评</w:t>
      </w:r>
      <w:r>
        <w:rPr>
          <w:rFonts w:ascii="Times New Roman" w:hAnsi="Times New Roman"/>
          <w:b/>
          <w:color w:val="000000"/>
          <w:lang w:eastAsia="zh-CN"/>
        </w:rPr>
        <w:t>价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要点</w:t>
      </w:r>
    </w:p>
    <w:p>
      <w:pPr>
        <w:pStyle w:val="3"/>
        <w:tabs>
          <w:tab w:val="left" w:pos="8065"/>
        </w:tabs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红线范围内户外活动场地内的遮荫措施有</w:t>
      </w:r>
      <w:r>
        <w:rPr>
          <w:color w:val="000000"/>
          <w:spacing w:val="-40"/>
          <w:lang w:eastAsia="zh-CN"/>
        </w:rPr>
        <w:t>：</w:t>
      </w:r>
      <w:r>
        <w:rPr>
          <w:color w:val="000000"/>
          <w:spacing w:val="1"/>
          <w:lang w:eastAsia="zh-CN"/>
        </w:rPr>
        <w:sym w:font="Wingdings 2" w:char="0052"/>
      </w:r>
      <w:r>
        <w:rPr>
          <w:rFonts w:hint="eastAsia"/>
          <w:color w:val="000000"/>
          <w:spacing w:val="-2"/>
          <w:lang w:eastAsia="zh-CN"/>
        </w:rPr>
        <w:t xml:space="preserve">绿化遮阴 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spacing w:val="-2"/>
          <w:lang w:eastAsia="zh-CN"/>
        </w:rPr>
        <w:t>构筑物</w:t>
      </w:r>
      <w:r>
        <w:rPr>
          <w:rFonts w:hint="eastAsia"/>
          <w:color w:val="000000"/>
          <w:spacing w:val="-2"/>
          <w:lang w:eastAsia="zh-CN"/>
        </w:rPr>
        <w:t>遮阴</w:t>
      </w:r>
      <w:r>
        <w:rPr>
          <w:color w:val="000000"/>
          <w:lang w:eastAsia="zh-CN"/>
        </w:rPr>
        <w:t>（类型</w:t>
      </w:r>
      <w:r>
        <w:rPr>
          <w:rFonts w:hint="eastAsia"/>
          <w:color w:val="000000"/>
          <w:spacing w:val="-40"/>
          <w:u w:val="single" w:color="000000"/>
          <w:lang w:eastAsia="zh-CN"/>
        </w:rPr>
        <w:t xml:space="preserve">       </w:t>
      </w:r>
      <w:r>
        <w:rPr>
          <w:color w:val="000000"/>
          <w:spacing w:val="-40"/>
          <w:lang w:eastAsia="zh-CN"/>
        </w:rPr>
        <w:t>）</w:t>
      </w:r>
      <w:r>
        <w:rPr>
          <w:color w:val="000000"/>
          <w:spacing w:val="1"/>
          <w:lang w:eastAsia="zh-CN"/>
        </w:rPr>
        <w:t>□</w:t>
      </w:r>
      <w:r>
        <w:rPr>
          <w:rFonts w:hint="eastAsia"/>
          <w:color w:val="000000"/>
          <w:spacing w:val="1"/>
          <w:lang w:eastAsia="zh-CN"/>
        </w:rPr>
        <w:t xml:space="preserve">建筑日照投影遮阴 </w:t>
      </w:r>
      <w:r>
        <w:rPr>
          <w:color w:val="000000"/>
          <w:spacing w:val="1"/>
          <w:lang w:eastAsia="zh-CN"/>
        </w:rPr>
        <w:t>□</w:t>
      </w:r>
      <w:r>
        <w:rPr>
          <w:color w:val="000000"/>
          <w:lang w:eastAsia="zh-CN"/>
        </w:rPr>
        <w:t xml:space="preserve">以上皆无。 </w:t>
      </w:r>
    </w:p>
    <w:p>
      <w:pPr>
        <w:pStyle w:val="3"/>
        <w:tabs>
          <w:tab w:val="left" w:pos="806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场地内遮荫措施统计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5758"/>
        <w:gridCol w:w="8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3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项目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数值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0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场地内遮阴措施</w:t>
            </w:r>
          </w:p>
        </w:tc>
        <w:tc>
          <w:tcPr>
            <w:tcW w:w="3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红线范围内户外活动场地面积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 w:ascii="Times New Roman" w:hAnsi="Times New Roman"/>
                <w:lang w:eastAsia="zh-CN"/>
              </w:rPr>
              <w:t>m</w:t>
            </w:r>
            <w:r>
              <w:rPr>
                <w:rFonts w:hint="eastAsia" w:ascii="Times New Roman" w:hAnsi="Times New Roman"/>
                <w:vertAlign w:val="superscript"/>
                <w:lang w:eastAsia="zh-CN"/>
              </w:rPr>
              <w:t>2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950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006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线范围内户外活动场地内乔木遮荫措施的面积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 w:ascii="Times New Roman" w:hAnsi="Times New Roman"/>
                <w:lang w:eastAsia="zh-CN"/>
              </w:rPr>
              <w:t>m</w:t>
            </w:r>
            <w:r>
              <w:rPr>
                <w:rFonts w:hint="eastAsia" w:ascii="Times New Roman" w:hAnsi="Times New Roman"/>
                <w:vertAlign w:val="superscript"/>
                <w:lang w:eastAsia="zh-CN"/>
              </w:rPr>
              <w:t>2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1006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线范围内户外活动场地构筑物遮荫措施的面积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 w:ascii="Times New Roman" w:hAnsi="Times New Roman"/>
                <w:lang w:eastAsia="zh-CN"/>
              </w:rPr>
              <w:t>m</w:t>
            </w:r>
            <w:r>
              <w:rPr>
                <w:rFonts w:hint="eastAsia" w:ascii="Times New Roman" w:hAnsi="Times New Roman"/>
                <w:vertAlign w:val="superscript"/>
                <w:lang w:eastAsia="zh-CN"/>
              </w:rPr>
              <w:t>2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1006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</w:pPr>
          </w:p>
        </w:tc>
        <w:tc>
          <w:tcPr>
            <w:tcW w:w="3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红线范围内户外活动场地建筑日照投影遮阴措施的面积</w:t>
            </w:r>
            <w:r>
              <w:rPr>
                <w:rFonts w:hint="eastAsia"/>
              </w:rPr>
              <w:t>（</w:t>
            </w:r>
            <w:r>
              <w:rPr>
                <w:rFonts w:hint="eastAsia" w:ascii="Times New Roman" w:hAnsi="Times New Roman"/>
                <w:color w:val="auto"/>
              </w:rPr>
              <w:t>m</w:t>
            </w:r>
            <w:r>
              <w:rPr>
                <w:rFonts w:hint="eastAsia" w:ascii="Times New Roman" w:hAnsi="Times New Roman"/>
                <w:color w:val="auto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100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</w:pPr>
          </w:p>
        </w:tc>
        <w:tc>
          <w:tcPr>
            <w:tcW w:w="3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  <w:t>红线</w:t>
            </w:r>
            <w:r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zh-CN"/>
              </w:rPr>
              <w:t>范</w:t>
            </w:r>
            <w:r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  <w:t>围</w:t>
            </w:r>
            <w:r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zh-CN"/>
              </w:rPr>
              <w:t>内</w:t>
            </w:r>
            <w:r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  <w:t>户外</w:t>
            </w:r>
            <w:r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zh-CN"/>
              </w:rPr>
              <w:t>活</w:t>
            </w:r>
            <w:r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  <w:t>动</w:t>
            </w:r>
            <w:r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zh-CN"/>
              </w:rPr>
              <w:t>场</w:t>
            </w:r>
            <w:r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  <w:t>地内</w:t>
            </w:r>
            <w:r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zh-CN"/>
              </w:rPr>
              <w:t>有</w:t>
            </w:r>
            <w:r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  <w:t>乔</w:t>
            </w:r>
            <w:r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zh-CN"/>
              </w:rPr>
              <w:t>木</w:t>
            </w:r>
            <w:r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  <w:t>、构</w:t>
            </w:r>
            <w:r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zh-CN"/>
              </w:rPr>
              <w:t>筑</w:t>
            </w:r>
            <w:r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  <w:t>物</w:t>
            </w:r>
            <w:r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zh-CN"/>
              </w:rPr>
              <w:t>遮</w:t>
            </w:r>
            <w:r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  <w:t>荫</w:t>
            </w:r>
            <w:r>
              <w:rPr>
                <w:rFonts w:hint="eastAsia"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  <w:t>和建筑日照投影遮阴</w:t>
            </w:r>
            <w:r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  <w:t>措</w:t>
            </w:r>
            <w:r>
              <w:rPr>
                <w:rFonts w:ascii="Times New Roman" w:hAnsi="Times New Roman"/>
                <w:color w:val="000000"/>
                <w:spacing w:val="3"/>
                <w:sz w:val="21"/>
                <w:szCs w:val="21"/>
                <w:lang w:eastAsia="zh-CN"/>
              </w:rPr>
              <w:t>施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的面积比例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（%）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100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  <w:t>道路路面、屋面太阳辐射反射系数</w:t>
            </w:r>
          </w:p>
        </w:tc>
        <w:tc>
          <w:tcPr>
            <w:tcW w:w="3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  <w:t>道路路面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 w:ascii="Times New Roman" w:hAnsi="Times New Roman"/>
                <w:lang w:eastAsia="zh-CN"/>
              </w:rPr>
              <w:t>m</w:t>
            </w:r>
            <w:r>
              <w:rPr>
                <w:rFonts w:hint="eastAsia" w:ascii="Times New Roman" w:hAnsi="Times New Roman"/>
                <w:vertAlign w:val="superscript"/>
                <w:lang w:eastAsia="zh-CN"/>
              </w:rPr>
              <w:t>2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20724.67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10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</w:pPr>
          </w:p>
        </w:tc>
        <w:tc>
          <w:tcPr>
            <w:tcW w:w="3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  <w:t>建筑屋面面积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 w:ascii="Times New Roman" w:hAnsi="Times New Roman"/>
                <w:lang w:eastAsia="zh-CN"/>
              </w:rPr>
              <w:t>m</w:t>
            </w:r>
            <w:r>
              <w:rPr>
                <w:rFonts w:hint="eastAsia" w:ascii="Times New Roman" w:hAnsi="Times New Roman"/>
                <w:vertAlign w:val="superscript"/>
                <w:lang w:eastAsia="zh-CN"/>
              </w:rPr>
              <w:t>2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6747.75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100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</w:pPr>
          </w:p>
        </w:tc>
        <w:tc>
          <w:tcPr>
            <w:tcW w:w="3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  <w:t>太阳辐射反射系数不低于0.4的道路路面、建筑屋面面积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 w:ascii="Times New Roman" w:hAnsi="Times New Roman"/>
                <w:lang w:eastAsia="zh-CN"/>
              </w:rPr>
              <w:t>m</w:t>
            </w:r>
            <w:r>
              <w:rPr>
                <w:rFonts w:hint="eastAsia" w:ascii="Times New Roman" w:hAnsi="Times New Roman"/>
                <w:vertAlign w:val="superscript"/>
                <w:lang w:eastAsia="zh-CN"/>
              </w:rPr>
              <w:t>2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100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</w:pPr>
          </w:p>
        </w:tc>
        <w:tc>
          <w:tcPr>
            <w:tcW w:w="3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5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太阳辐射反射系数不低于</w:t>
            </w:r>
            <w:r>
              <w:rPr>
                <w:rFonts w:hint="eastAsia" w:ascii="Times New Roman" w:hAnsi="Times New Roman"/>
                <w:spacing w:val="4"/>
                <w:sz w:val="21"/>
                <w:szCs w:val="21"/>
              </w:rPr>
              <w:t>0.4</w:t>
            </w:r>
            <w:r>
              <w:rPr>
                <w:rFonts w:hint="eastAsia"/>
                <w:sz w:val="21"/>
                <w:szCs w:val="21"/>
              </w:rPr>
              <w:t>的道路路面、建筑屋面面积占道路路面及建筑屋面总面积的比例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（%）</w:t>
            </w:r>
          </w:p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pacing w:val="4"/>
                <w:sz w:val="21"/>
                <w:szCs w:val="21"/>
                <w:lang w:eastAsia="zh-CN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rPr>
          <w:rFonts w:hint="eastAsia"/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</w:t>
      </w:r>
      <w:r>
        <w:rPr>
          <w:rFonts w:ascii="Times New Roman" w:hAnsi="Times New Roman"/>
          <w:b/>
          <w:color w:val="000000"/>
          <w:spacing w:val="1"/>
          <w:lang w:eastAsia="zh-CN"/>
        </w:rPr>
        <w:t>）证</w:t>
      </w:r>
      <w:r>
        <w:rPr>
          <w:rFonts w:ascii="Times New Roman" w:hAnsi="Times New Roman"/>
          <w:b/>
          <w:color w:val="000000"/>
          <w:lang w:eastAsia="zh-CN"/>
        </w:rPr>
        <w:t>明</w:t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材料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>
        <w:rPr>
          <w:rFonts w:ascii="Times New Roman" w:hAnsi="Times New Roman"/>
          <w:b/>
          <w:color w:val="000000"/>
          <w:lang w:eastAsia="zh-CN"/>
        </w:rPr>
        <w:t>单及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>
      <w:pPr>
        <w:pStyle w:val="15"/>
        <w:spacing w:line="320" w:lineRule="exact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</w:t>
      </w:r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景观专业图纸及设计说明：应说明乔木及场地构筑物的位置、数量、遮荫面积等技术经济指标，平面图应体现场地内建筑、步道、庭院、广场、游憩场、地面停车场等的位置及面积，应提交构筑物详图；</w:t>
      </w:r>
      <w:r>
        <w:rPr>
          <w:sz w:val="21"/>
          <w:szCs w:val="21"/>
        </w:rPr>
        <w:t xml:space="preserve"> </w:t>
      </w:r>
    </w:p>
    <w:p>
      <w:pPr>
        <w:pStyle w:val="15"/>
        <w:spacing w:line="320" w:lineRule="exact"/>
        <w:rPr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2. </w:t>
      </w:r>
      <w:r>
        <w:rPr>
          <w:rFonts w:hint="eastAsia"/>
          <w:sz w:val="21"/>
          <w:szCs w:val="21"/>
        </w:rPr>
        <w:t>屋顶铺装平面图：应体现各类铺装的类型、位置、太阳辐射反射系数及面积；</w:t>
      </w:r>
      <w:r>
        <w:rPr>
          <w:sz w:val="21"/>
          <w:szCs w:val="21"/>
        </w:rPr>
        <w:t xml:space="preserve"> </w:t>
      </w:r>
    </w:p>
    <w:p>
      <w:pPr>
        <w:pStyle w:val="15"/>
        <w:spacing w:line="320" w:lineRule="exact"/>
        <w:ind w:left="210" w:hanging="210"/>
        <w:rPr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3. </w:t>
      </w:r>
      <w:r>
        <w:rPr>
          <w:rFonts w:hint="eastAsia"/>
          <w:sz w:val="21"/>
          <w:szCs w:val="21"/>
        </w:rPr>
        <w:t>场地铺装平面图：应体现各类铺装的类型、位置、面积，对硬质铺装，应体现铺装材料；</w:t>
      </w:r>
      <w:r>
        <w:rPr>
          <w:sz w:val="21"/>
          <w:szCs w:val="21"/>
        </w:rPr>
        <w:t xml:space="preserve"> </w:t>
      </w:r>
    </w:p>
    <w:p>
      <w:pPr>
        <w:pStyle w:val="15"/>
        <w:spacing w:line="320" w:lineRule="exact"/>
        <w:rPr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4. </w:t>
      </w:r>
      <w:r>
        <w:rPr>
          <w:rFonts w:hint="eastAsia"/>
          <w:sz w:val="21"/>
          <w:szCs w:val="21"/>
        </w:rPr>
        <w:t>遮荫面积比例计算书：应包括乔木以及构筑物遮荫面积的详细计算；</w:t>
      </w:r>
      <w:r>
        <w:rPr>
          <w:sz w:val="21"/>
          <w:szCs w:val="21"/>
        </w:rPr>
        <w:t xml:space="preserve"> </w:t>
      </w:r>
    </w:p>
    <w:p>
      <w:pPr>
        <w:pStyle w:val="3"/>
        <w:spacing w:line="320" w:lineRule="exact"/>
        <w:ind w:left="0"/>
        <w:jc w:val="both"/>
        <w:rPr>
          <w:rFonts w:hint="eastAsia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5. </w:t>
      </w:r>
      <w:r>
        <w:rPr>
          <w:rFonts w:hint="eastAsia"/>
          <w:lang w:eastAsia="zh-CN"/>
        </w:rPr>
        <w:t>太阳辐射反射系数不低于</w:t>
      </w:r>
      <w:r>
        <w:rPr>
          <w:rFonts w:hint="eastAsia" w:ascii="Times New Roman" w:hAnsi="Times New Roman"/>
          <w:color w:val="000000"/>
          <w:spacing w:val="4"/>
          <w:lang w:eastAsia="zh-CN"/>
        </w:rPr>
        <w:t>0.4</w:t>
      </w:r>
      <w:r>
        <w:rPr>
          <w:rFonts w:hint="eastAsia"/>
          <w:lang w:eastAsia="zh-CN"/>
        </w:rPr>
        <w:t>的道路路面、建筑屋面面积占道路路面及建筑屋面总面积的比例计算书：应包括道路路面、建筑屋面面积各类铺装的类型、太阳辐射反射系数及面积的统计。</w:t>
      </w:r>
    </w:p>
    <w:p>
      <w:pPr>
        <w:pStyle w:val="3"/>
        <w:spacing w:line="320" w:lineRule="exact"/>
        <w:ind w:left="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实际提交资料：</w:t>
      </w:r>
    </w:p>
    <w:p>
      <w:pPr>
        <w:pStyle w:val="3"/>
        <w:spacing w:line="320" w:lineRule="exact"/>
        <w:ind w:left="0"/>
        <w:jc w:val="both"/>
        <w:rPr>
          <w:rFonts w:hint="eastAsia"/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47360" cy="492125"/>
                <wp:effectExtent l="12700" t="8255" r="12065" b="1397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38.75pt;width:436.8pt;mso-position-horizontal:center;z-index:251659264;mso-width-relative:page;mso-height-relative:page;" fillcolor="#FFFFFF" filled="t" stroked="t" coordsize="21600,21600" o:gfxdata="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AdBtrV&#10;AAAABAEAAA8AAAAAAAAAAQAgAAAAIgAAAGRycy9kb3ducmV2LnhtbFBLAQIUABQAAAAIAIdO4kDm&#10;RS/tIwIAADsEAAAOAAAAAAAAAAEAIAAAACQ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微软雅黑"/>
    <w:panose1 w:val="00000000000000000000"/>
    <w:charset w:val="86"/>
    <w:family w:val="swiss"/>
    <w:pitch w:val="default"/>
    <w:sig w:usb0="00000000" w:usb1="00000000" w:usb2="00000016" w:usb3="00000000" w:csb0="003E01B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90"/>
    <w:rsid w:val="004B3F70"/>
    <w:rsid w:val="00503626"/>
    <w:rsid w:val="005544A3"/>
    <w:rsid w:val="006018F7"/>
    <w:rsid w:val="0066093F"/>
    <w:rsid w:val="00666BF0"/>
    <w:rsid w:val="006B1B90"/>
    <w:rsid w:val="00A35BD7"/>
    <w:rsid w:val="00A84F86"/>
    <w:rsid w:val="00AD2CFD"/>
    <w:rsid w:val="00D01A52"/>
    <w:rsid w:val="00D91CE0"/>
    <w:rsid w:val="00DD5A42"/>
    <w:rsid w:val="00F74316"/>
    <w:rsid w:val="00FA271F"/>
    <w:rsid w:val="33A8368D"/>
    <w:rsid w:val="4104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日期 Char"/>
    <w:basedOn w:val="8"/>
    <w:link w:val="4"/>
    <w:semiHidden/>
    <w:qFormat/>
    <w:uiPriority w:val="99"/>
  </w:style>
  <w:style w:type="character" w:customStyle="1" w:styleId="10">
    <w:name w:val="页眉 Char"/>
    <w:basedOn w:val="8"/>
    <w:link w:val="6"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3">
    <w:name w:val="正文文本 Char"/>
    <w:basedOn w:val="8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730</Characters>
  <Lines>6</Lines>
  <Paragraphs>1</Paragraphs>
  <TotalTime>48</TotalTime>
  <ScaleCrop>false</ScaleCrop>
  <LinksUpToDate>false</LinksUpToDate>
  <CharactersWithSpaces>857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2016-10-25T01:45:00Z</dcterms:created>
  <dc:creator>LCL</dc:creator>
  <cp:lastModifiedBy>WPS_1508576054</cp:lastModifiedBy>
  <cp:lastPrinted>2016-11-15T02:17:00Z</cp:lastPrinted>
  <dcterms:modified xsi:type="dcterms:W3CDTF">2022-01-14T01:52:28Z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