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1.4各房间或场所的照明功率密度值不得高于现行国家标准《建筑照明设计标准》G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5.1.5 各房间或场所的照明功率密度值不得高于现行国家标准《建筑照明设计标准》GB50034 中的现行值规定。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959"/>
        </w:tabs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达标自评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sz w:val="21"/>
          <w:szCs w:val="21"/>
          <w:lang w:eastAsia="zh-CN"/>
        </w:rPr>
        <w:sym w:font="Wingdings 2" w:char="0052"/>
      </w:r>
      <w:r>
        <w:rPr>
          <w:rFonts w:ascii="宋体" w:hAnsi="宋体"/>
          <w:color w:val="000000"/>
          <w:spacing w:val="-3"/>
          <w:sz w:val="21"/>
          <w:szCs w:val="21"/>
          <w:lang w:eastAsia="zh-CN"/>
        </w:rPr>
        <w:t>达</w:t>
      </w:r>
      <w:r>
        <w:rPr>
          <w:rFonts w:ascii="宋体" w:hAnsi="宋体"/>
          <w:color w:val="000000"/>
          <w:sz w:val="21"/>
          <w:szCs w:val="21"/>
          <w:lang w:eastAsia="zh-CN"/>
        </w:rPr>
        <w:t>标</w:t>
      </w:r>
      <w:r>
        <w:rPr>
          <w:rFonts w:ascii="宋体" w:hAnsi="宋体"/>
          <w:color w:val="000000"/>
          <w:spacing w:val="-3"/>
          <w:sz w:val="21"/>
          <w:szCs w:val="21"/>
          <w:lang w:eastAsia="zh-CN"/>
        </w:rPr>
        <w:t>；</w:t>
      </w:r>
      <w:r>
        <w:rPr>
          <w:rFonts w:ascii="宋体" w:hAnsi="宋体"/>
          <w:color w:val="000000"/>
          <w:sz w:val="21"/>
          <w:szCs w:val="21"/>
          <w:lang w:eastAsia="zh-CN"/>
        </w:rPr>
        <w:t>□不</w:t>
      </w:r>
      <w:r>
        <w:rPr>
          <w:rFonts w:ascii="宋体" w:hAnsi="宋体"/>
          <w:color w:val="000000"/>
          <w:spacing w:val="-3"/>
          <w:sz w:val="21"/>
          <w:szCs w:val="21"/>
          <w:lang w:eastAsia="zh-CN"/>
        </w:rPr>
        <w:t>达标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hint="eastAsia" w:ascii="Times New Roman" w:hAnsi="Times New Roman"/>
          <w:b/>
          <w:bCs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lang w:eastAsia="zh-CN"/>
        </w:rPr>
        <w:t xml:space="preserve">评价要点 </w:t>
      </w: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简要说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照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系统</w:t>
      </w:r>
      <w:r>
        <w:rPr>
          <w:color w:val="000000"/>
          <w:spacing w:val="-3"/>
          <w:lang w:eastAsia="zh-CN"/>
        </w:rPr>
        <w:t>灯</w:t>
      </w:r>
      <w:r>
        <w:rPr>
          <w:color w:val="000000"/>
          <w:lang w:eastAsia="zh-CN"/>
        </w:rPr>
        <w:t>具</w:t>
      </w:r>
      <w:r>
        <w:rPr>
          <w:color w:val="000000"/>
          <w:spacing w:val="-3"/>
          <w:lang w:eastAsia="zh-CN"/>
        </w:rPr>
        <w:t>选</w:t>
      </w:r>
      <w:r>
        <w:rPr>
          <w:color w:val="000000"/>
          <w:lang w:eastAsia="zh-CN"/>
        </w:rPr>
        <w:t>型原则</w:t>
      </w:r>
      <w:r>
        <w:rPr>
          <w:color w:val="000000"/>
          <w:spacing w:val="-3"/>
          <w:lang w:eastAsia="zh-CN"/>
        </w:rPr>
        <w:t>、</w:t>
      </w:r>
      <w:r>
        <w:rPr>
          <w:color w:val="000000"/>
          <w:lang w:eastAsia="zh-CN"/>
        </w:rPr>
        <w:t>主</w:t>
      </w:r>
      <w:r>
        <w:rPr>
          <w:color w:val="000000"/>
          <w:spacing w:val="-3"/>
          <w:lang w:eastAsia="zh-CN"/>
        </w:rPr>
        <w:t>要</w:t>
      </w:r>
      <w:r>
        <w:rPr>
          <w:color w:val="000000"/>
          <w:lang w:eastAsia="zh-CN"/>
        </w:rPr>
        <w:t>灯具</w:t>
      </w:r>
      <w:r>
        <w:rPr>
          <w:color w:val="000000"/>
          <w:spacing w:val="-3"/>
          <w:lang w:eastAsia="zh-CN"/>
        </w:rPr>
        <w:t>型</w:t>
      </w:r>
      <w:r>
        <w:rPr>
          <w:color w:val="000000"/>
          <w:lang w:eastAsia="zh-CN"/>
        </w:rPr>
        <w:t>号</w:t>
      </w:r>
      <w:r>
        <w:rPr>
          <w:color w:val="000000"/>
          <w:spacing w:val="-3"/>
          <w:lang w:eastAsia="zh-CN"/>
        </w:rPr>
        <w:t>和</w:t>
      </w:r>
      <w:r>
        <w:rPr>
          <w:color w:val="000000"/>
          <w:lang w:eastAsia="zh-CN"/>
        </w:rPr>
        <w:t>参数以</w:t>
      </w:r>
      <w:r>
        <w:rPr>
          <w:color w:val="000000"/>
          <w:spacing w:val="-3"/>
          <w:lang w:eastAsia="zh-CN"/>
        </w:rPr>
        <w:t>及</w:t>
      </w:r>
      <w:r>
        <w:rPr>
          <w:color w:val="000000"/>
          <w:lang w:eastAsia="zh-CN"/>
        </w:rPr>
        <w:t>照</w:t>
      </w:r>
      <w:r>
        <w:rPr>
          <w:color w:val="000000"/>
          <w:spacing w:val="-3"/>
          <w:lang w:eastAsia="zh-CN"/>
        </w:rPr>
        <w:t>明</w:t>
      </w:r>
      <w:r>
        <w:rPr>
          <w:color w:val="000000"/>
          <w:lang w:eastAsia="zh-CN"/>
        </w:rPr>
        <w:t>节能</w:t>
      </w:r>
      <w:r>
        <w:rPr>
          <w:color w:val="000000"/>
          <w:spacing w:val="-3"/>
          <w:lang w:eastAsia="zh-CN"/>
        </w:rPr>
        <w:t>的</w:t>
      </w:r>
      <w:r>
        <w:rPr>
          <w:color w:val="000000"/>
          <w:lang w:eastAsia="zh-CN"/>
        </w:rPr>
        <w:t>控</w:t>
      </w:r>
      <w:r>
        <w:rPr>
          <w:color w:val="000000"/>
          <w:spacing w:val="-3"/>
          <w:lang w:eastAsia="zh-CN"/>
        </w:rPr>
        <w:t>制</w:t>
      </w:r>
      <w:r>
        <w:rPr>
          <w:color w:val="000000"/>
          <w:lang w:eastAsia="zh-CN"/>
        </w:rPr>
        <w:t>措施</w:t>
      </w:r>
      <w:r>
        <w:rPr>
          <w:rFonts w:hint="eastAsia"/>
          <w:color w:val="000000"/>
          <w:lang w:eastAsia="zh-CN"/>
        </w:rPr>
        <w:t>。（</w:t>
      </w:r>
      <w:r>
        <w:rPr>
          <w:rFonts w:ascii="Times New Roman" w:hAnsi="Times New Roman"/>
          <w:color w:val="000000"/>
          <w:lang w:eastAsia="zh-CN"/>
        </w:rPr>
        <w:t>150</w:t>
      </w:r>
      <w:r>
        <w:rPr>
          <w:rFonts w:hint="eastAsia"/>
          <w:color w:val="000000"/>
          <w:lang w:eastAsia="zh-CN"/>
        </w:rPr>
        <w:t>字以内）</w:t>
      </w: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hint="eastAsia" w:ascii="Calibri" w:hAnsi="Calibri"/>
          <w:color w:val="000000"/>
          <w:sz w:val="22"/>
          <w:szCs w:val="22"/>
          <w:lang w:val="zh-CN" w:eastAsia="zh-CN"/>
        </w:rPr>
      </w:pPr>
      <w:r>
        <w:rPr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57785</wp:posOffset>
                </wp:positionV>
                <wp:extent cx="5634990" cy="998220"/>
                <wp:effectExtent l="7620" t="6350" r="571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本工程采用高光效光源、高效灯具和节能器材。选择的照明灯具、镇流器应通过国家强制性产品认证。选用的照明光源、镇流器的能效应符合相关能效标准的节能评价值。人员长期工作或停留的房间或场所, 照明光源的显色指数不应小于80 。本工程选用的敞开式灯具效率大于75%，带透光罩灯具效率大于65%。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pt;margin-top:4.55pt;height:78.6pt;width:443.7pt;z-index:251660288;mso-width-relative:page;mso-height-relative:page;" fillcolor="#FFFFFF" filled="t" stroked="t" coordsize="21600,21600" o:gfxdata="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WKdI2&#10;1QAAAAcBAAAPAAAAAAAAAAEAIAAAACIAAABkcnMvZG93bnJldi54bWxQSwECFAAUAAAACACHTuJA&#10;aN+52CQCAAA7BAAADgAAAAAAAAABACAAAAAk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本工程采用高光效光源、高效灯具和节能器材。选择的照明灯具、镇流器应通过国家强制性产品认证。选用的照明光源、镇流器的能效应符合相关能效标准的节能评价值。人员长期工作或停留的房间或场所, 照明光源的显色指数不应小于80 。本工程选用的敞开式灯具效率大于75%，带透光罩灯具效率大于65%。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hint="eastAsia" w:ascii="Calibri" w:hAnsi="Calibri"/>
          <w:color w:val="000000"/>
          <w:sz w:val="22"/>
          <w:szCs w:val="22"/>
          <w:lang w:val="zh-CN" w:eastAsia="zh-CN"/>
        </w:rPr>
      </w:pP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hint="eastAsia" w:ascii="Calibri" w:hAnsi="Calibri"/>
          <w:color w:val="000000"/>
          <w:sz w:val="22"/>
          <w:szCs w:val="22"/>
          <w:lang w:val="zh-CN" w:eastAsia="zh-CN"/>
        </w:rPr>
      </w:pP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hint="eastAsia" w:ascii="Calibri" w:hAnsi="Calibri"/>
          <w:color w:val="000000"/>
          <w:sz w:val="22"/>
          <w:szCs w:val="22"/>
          <w:lang w:val="zh-CN" w:eastAsia="zh-CN"/>
        </w:rPr>
      </w:pP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hint="eastAsia" w:ascii="Calibri" w:hAnsi="Calibri"/>
          <w:color w:val="000000"/>
          <w:sz w:val="22"/>
          <w:szCs w:val="22"/>
          <w:lang w:val="zh-CN"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2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照明</w:t>
      </w:r>
      <w:r>
        <w:rPr>
          <w:color w:val="000000"/>
          <w:spacing w:val="-3"/>
          <w:lang w:eastAsia="zh-CN"/>
        </w:rPr>
        <w:t>功</w:t>
      </w:r>
      <w:r>
        <w:rPr>
          <w:color w:val="000000"/>
          <w:lang w:eastAsia="zh-CN"/>
        </w:rPr>
        <w:t>率</w:t>
      </w:r>
      <w:r>
        <w:rPr>
          <w:color w:val="000000"/>
          <w:spacing w:val="-3"/>
          <w:lang w:eastAsia="zh-CN"/>
        </w:rPr>
        <w:t>设</w:t>
      </w:r>
      <w:r>
        <w:rPr>
          <w:color w:val="000000"/>
          <w:lang w:eastAsia="zh-CN"/>
        </w:rPr>
        <w:t>计</w:t>
      </w:r>
      <w:r>
        <w:rPr>
          <w:color w:val="000000"/>
          <w:spacing w:val="-3"/>
          <w:lang w:eastAsia="zh-CN"/>
        </w:rPr>
        <w:t>值</w:t>
      </w:r>
      <w:r>
        <w:rPr>
          <w:color w:val="000000"/>
          <w:lang w:eastAsia="zh-CN"/>
        </w:rPr>
        <w:t>：</w:t>
      </w:r>
    </w:p>
    <w:tbl>
      <w:tblPr>
        <w:tblStyle w:val="6"/>
        <w:tblW w:w="499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3"/>
        <w:gridCol w:w="1096"/>
        <w:gridCol w:w="1013"/>
        <w:gridCol w:w="922"/>
        <w:gridCol w:w="9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房间类型</w:t>
            </w:r>
          </w:p>
        </w:tc>
        <w:tc>
          <w:tcPr>
            <w:tcW w:w="12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设计照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Lx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照明功</w:t>
            </w: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密</w:t>
            </w:r>
            <w:r>
              <w:rPr>
                <w:rFonts w:ascii="Times New Roman" w:hAnsi="Times New Roman"/>
                <w:color w:val="000000"/>
                <w:spacing w:val="-47"/>
                <w:sz w:val="21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W/m</w:t>
            </w:r>
            <w:r>
              <w:rPr>
                <w:rFonts w:ascii="Times New Roman" w:hAnsi="Times New Roman"/>
                <w:color w:val="000000"/>
                <w:position w:val="1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>
        <w:trPr>
          <w:trHeight w:val="322" w:hRule="exact"/>
        </w:trPr>
        <w:tc>
          <w:tcPr>
            <w:tcW w:w="26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实际值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实际值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</w:pPr>
          </w:p>
          <w:p>
            <w:pPr>
              <w:spacing w:before="100" w:beforeAutospacing="1" w:after="100" w:afterAutospacing="1"/>
              <w:jc w:val="center"/>
            </w:pPr>
            <w:r>
              <w:t>配电间</w:t>
            </w:r>
          </w:p>
          <w:p>
            <w:pPr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MS Mincho" w:hAnsi="MS Mincho" w:eastAsia="MS Mincho" w:cs="MS Mincho"/>
              </w:rPr>
              <w:t>​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213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200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4.2 </w:t>
            </w:r>
            <w:r>
              <w:t xml:space="preserve"> 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</w:pPr>
          </w:p>
          <w:p>
            <w:pPr>
              <w:spacing w:before="100" w:beforeAutospacing="1" w:after="100" w:afterAutospacing="1"/>
              <w:jc w:val="center"/>
            </w:pPr>
            <w:r>
              <w:t>弱电间</w:t>
            </w:r>
          </w:p>
          <w:p>
            <w:pPr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MS Mincho" w:hAnsi="MS Mincho" w:eastAsia="MS Mincho" w:cs="MS Mincho"/>
              </w:rPr>
              <w:t>​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198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200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4.5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热计量间​</w:t>
            </w:r>
            <w:r>
              <w:t xml:space="preserve">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100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2.7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3.5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楼梯间​</w:t>
            </w:r>
            <w:r>
              <w:t xml:space="preserve">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2.1 </w:t>
            </w:r>
            <w:r>
              <w:t xml:space="preserve"> 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合用前室​</w:t>
            </w:r>
            <w:r>
              <w:t xml:space="preserve"> 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76 </w:t>
            </w:r>
            <w:r>
              <w:t xml:space="preserve">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75 </w:t>
            </w:r>
            <w:r>
              <w:t xml:space="preserve"> 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 xml:space="preserve">3) </w:t>
      </w:r>
      <w:r>
        <w:rPr>
          <w:rFonts w:hint="eastAsia" w:ascii="Times New Roman" w:hAnsi="Times New Roman"/>
          <w:b/>
          <w:bCs/>
          <w:color w:val="000000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t xml:space="preserve">证明材料 </w:t>
      </w:r>
    </w:p>
    <w:p>
      <w:pPr>
        <w:pStyle w:val="2"/>
        <w:tabs>
          <w:tab w:val="left" w:pos="95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电气专业图纸及设计说明：应说明照明设计要求、设计标准、控制原则等，应提供电气照明系统图和平面图；</w:t>
      </w:r>
    </w:p>
    <w:p>
      <w:pPr>
        <w:pStyle w:val="12"/>
        <w:rPr>
          <w:sz w:val="21"/>
          <w:szCs w:val="21"/>
        </w:rPr>
      </w:pPr>
      <w:r>
        <w:rPr>
          <w:rFonts w:hint="eastAsia" w:ascii="Times New Roman" w:hAnsi="Times New Roman"/>
        </w:rPr>
        <w:t xml:space="preserve">2. </w:t>
      </w:r>
      <w:r>
        <w:rPr>
          <w:rFonts w:hint="eastAsia"/>
          <w:sz w:val="21"/>
          <w:szCs w:val="21"/>
        </w:rPr>
        <w:t>照明功率密度计算书：应对不同区域的照明灯具的数量、功率进行统计，并计算照明功率密度和照度。</w:t>
      </w:r>
      <w:r>
        <w:rPr>
          <w:sz w:val="21"/>
          <w:szCs w:val="21"/>
        </w:rPr>
        <w:t xml:space="preserve"> 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1108075</wp:posOffset>
                </wp:positionH>
                <wp:positionV relativeFrom="page">
                  <wp:posOffset>8077835</wp:posOffset>
                </wp:positionV>
                <wp:extent cx="5741035" cy="871220"/>
                <wp:effectExtent l="2540" t="8255" r="9525" b="63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035" cy="871220"/>
                          <a:chOff x="1401" y="1439"/>
                          <a:chExt cx="9105" cy="1372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406" y="1445"/>
                            <a:ext cx="9094" cy="2"/>
                            <a:chOff x="1406" y="1445"/>
                            <a:chExt cx="9094" cy="2"/>
                          </a:xfrm>
                        </wpg:grpSpPr>
                        <wps:wsp>
                          <wps:cNvPr id="3" name="Freeform 4"/>
                          <wps:cNvSpPr/>
                          <wps:spPr bwMode="auto">
                            <a:xfrm>
                              <a:off x="1406" y="1445"/>
                              <a:ext cx="9094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9094"/>
                                <a:gd name="T2" fmla="+- 0 10500 1406"/>
                                <a:gd name="T3" fmla="*/ T2 w 9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4">
                                  <a:moveTo>
                                    <a:pt x="0" y="0"/>
                                  </a:moveTo>
                                  <a:lnTo>
                                    <a:pt x="909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/>
                        <wpg:grpSpPr>
                          <a:xfrm>
                            <a:off x="1411" y="1450"/>
                            <a:ext cx="2" cy="1351"/>
                            <a:chOff x="1411" y="1450"/>
                            <a:chExt cx="2" cy="1351"/>
                          </a:xfrm>
                        </wpg:grpSpPr>
                        <wps:wsp>
                          <wps:cNvPr id="5" name="Freeform 6"/>
                          <wps:cNvSpPr/>
                          <wps:spPr bwMode="auto">
                            <a:xfrm>
                              <a:off x="1411" y="1450"/>
                              <a:ext cx="2" cy="135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1"/>
                                <a:gd name="T2" fmla="+- 0 2801 1450"/>
                                <a:gd name="T3" fmla="*/ 2801 h 1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1">
                                  <a:moveTo>
                                    <a:pt x="0" y="0"/>
                                  </a:moveTo>
                                  <a:lnTo>
                                    <a:pt x="0" y="135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/>
                        <wpg:grpSpPr>
                          <a:xfrm>
                            <a:off x="1406" y="2806"/>
                            <a:ext cx="9094" cy="2"/>
                            <a:chOff x="1406" y="2806"/>
                            <a:chExt cx="9094" cy="2"/>
                          </a:xfrm>
                        </wpg:grpSpPr>
                        <wps:wsp>
                          <wps:cNvPr id="7" name="Freeform 8"/>
                          <wps:cNvSpPr/>
                          <wps:spPr bwMode="auto">
                            <a:xfrm>
                              <a:off x="1406" y="2806"/>
                              <a:ext cx="9094" cy="2"/>
                            </a:xfrm>
                            <a:custGeom>
                              <a:avLst/>
                              <a:gdLst>
                                <a:gd name="T0" fmla="+- 0 1406 1406"/>
                                <a:gd name="T1" fmla="*/ T0 w 9094"/>
                                <a:gd name="T2" fmla="+- 0 10500 1406"/>
                                <a:gd name="T3" fmla="*/ T2 w 9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4">
                                  <a:moveTo>
                                    <a:pt x="0" y="0"/>
                                  </a:moveTo>
                                  <a:lnTo>
                                    <a:pt x="909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/>
                        <wpg:grpSpPr>
                          <a:xfrm>
                            <a:off x="10495" y="1450"/>
                            <a:ext cx="2" cy="1351"/>
                            <a:chOff x="10495" y="1450"/>
                            <a:chExt cx="2" cy="1351"/>
                          </a:xfrm>
                        </wpg:grpSpPr>
                        <wps:wsp>
                          <wps:cNvPr id="9" name="Freeform 10"/>
                          <wps:cNvSpPr/>
                          <wps:spPr bwMode="auto">
                            <a:xfrm>
                              <a:off x="10495" y="1450"/>
                              <a:ext cx="2" cy="1351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1450 h 1351"/>
                                <a:gd name="T2" fmla="+- 0 2801 1450"/>
                                <a:gd name="T3" fmla="*/ 2801 h 13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1">
                                  <a:moveTo>
                                    <a:pt x="0" y="0"/>
                                  </a:moveTo>
                                  <a:lnTo>
                                    <a:pt x="0" y="1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25pt;margin-top:636.05pt;height:68.6pt;width:452.05pt;mso-position-horizontal-relative:page;mso-position-vertical-relative:page;z-index:-251657216;mso-width-relative:page;mso-height-relative:page;" coordorigin="1401,1439" coordsize="9105,1372" o:gfxdata="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CHNT1XdAAAADgEAAA8AAAAAAAAAAQAgAAAAIgAAAGRycy9kb3du&#10;cmV2LnhtbFBLAQIUABQAAAAIAIdO4kDkYHiBbQQAAA4XAAAOAAAAAAAAAAEAIAAAACwBAABkcnMv&#10;ZTJvRG9jLnhtbFBLBQYAAAAABgAGAFkBAAALCAAAAAA=&#10;">
                <o:lock v:ext="edit" aspectratio="f"/>
                <v:group id="Group 3" o:spid="_x0000_s1026" o:spt="203" style="position:absolute;left:1406;top:1445;height:2;width:9094;" coordorigin="1406,1445" coordsize="9094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" o:spid="_x0000_s1026" o:spt="100" style="position:absolute;left:1406;top:1445;height:2;width:9094;" filled="f" stroked="t" coordsize="9094,1" o:gfxdata="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f7xa8AAAA&#10;2gAAAA8AAAAAAAAAAQAgAAAAIgAAAGRycy9kb3ducmV2LnhtbFBLAQIUABQAAAAIAIdO4kAzLwWe&#10;OwAAADkAAAAQAAAAAAAAAAEAIAAAAAsBAABkcnMvc2hhcGV4bWwueG1sUEsFBgAAAAAGAAYAWwEA&#10;ALUDAAAAAA==&#10;" path="m0,0l9094,0e">
                    <v:path o:connectlocs="0,0;9094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411;top:1450;height:1351;width:2;" coordorigin="1411,1450" coordsize="2,135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411;top:1450;height:1351;width:2;" filled="f" stroked="t" coordsize="1,1351" o:gfxdata="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UCALsAAADa&#10;AAAADwAAAAAAAAABACAAAAAiAAAAZHJzL2Rvd25yZXYueG1sUEsBAhQAFAAAAAgAh07iQDMvBZ47&#10;AAAAOQAAABAAAAAAAAAAAQAgAAAACgEAAGRycy9zaGFwZXhtbC54bWxQSwUGAAAAAAYABgBbAQAA&#10;tAMAAAAA&#10;" path="m0,0l0,1351e">
                    <v:path o:connectlocs="0,1450;0,2801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406;top:2806;height:2;width:9094;" coordorigin="1406,2806" coordsize="9094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1406;top:2806;height:2;width:9094;" filled="f" stroked="t" coordsize="9094,1" o:gfxdata="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k6RW8AAAA&#10;2gAAAA8AAAAAAAAAAQAgAAAAIgAAAGRycy9kb3ducmV2LnhtbFBLAQIUABQAAAAIAIdO4kAzLwWe&#10;OwAAADkAAAAQAAAAAAAAAAEAIAAAAAsBAABkcnMvc2hhcGV4bWwueG1sUEsFBgAAAAAGAAYAWwEA&#10;ALUDAAAAAA==&#10;" path="m0,0l9094,0e">
                    <v:path o:connectlocs="0,0;9094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495;top:1450;height:1351;width:2;" coordorigin="10495,1450" coordsize="2,135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10495;top:1450;height:1351;width:2;" filled="f" stroked="t" coordsize="1,1351" o:gfxdata="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oi2KugAAANoA&#10;AAAPAAAAAAAAAAEAIAAAACIAAABkcnMvZG93bnJldi54bWxQSwECFAAUAAAACACHTuJAMy8FnjsA&#10;AAA5AAAAEAAAAAAAAAABACAAAAAJAQAAZHJzL3NoYXBleG1sLnhtbFBLBQYAAAAABgAGAFsBAACz&#10;AwAAAAA=&#10;" path="m0,0l0,1351e">
                    <v:path o:connectlocs="0,1450;0,280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auto"/>
          <w:lang w:eastAsia="zh-CN"/>
        </w:rPr>
      </w:pPr>
      <w:bookmarkStart w:id="1" w:name="_GoBack"/>
      <w:r>
        <w:rPr>
          <w:rFonts w:hint="eastAsia"/>
          <w:color w:val="auto"/>
          <w:sz w:val="21"/>
          <w:szCs w:val="21"/>
        </w:rPr>
        <w:t>设计说明</w:t>
      </w:r>
      <w:r>
        <w:rPr>
          <w:rFonts w:hint="eastAsia"/>
          <w:color w:val="auto"/>
          <w:sz w:val="21"/>
          <w:szCs w:val="21"/>
          <w:lang w:eastAsia="zh-CN"/>
        </w:rPr>
        <w:t>、配电系统图、照明平面图（包含照明节能计算表）</w:t>
      </w:r>
      <w:r>
        <w:rPr>
          <w:rFonts w:hint="eastAsia"/>
          <w:color w:val="auto"/>
          <w:sz w:val="21"/>
          <w:szCs w:val="21"/>
        </w:rPr>
        <w:t>。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8D"/>
    <w:rsid w:val="00015D8B"/>
    <w:rsid w:val="008D6608"/>
    <w:rsid w:val="00A97B8D"/>
    <w:rsid w:val="00E92D7C"/>
    <w:rsid w:val="00F21C6D"/>
    <w:rsid w:val="176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正文文本 Char"/>
    <w:basedOn w:val="7"/>
    <w:link w:val="2"/>
    <w:uiPriority w:val="1"/>
    <w:rPr>
      <w:rFonts w:ascii="宋体" w:hAnsi="宋体"/>
      <w:sz w:val="21"/>
      <w:szCs w:val="21"/>
      <w:lang w:eastAsia="en-US"/>
    </w:r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2017-03-23T08:57:00Z</dcterms:created>
  <dc:creator>金晶</dc:creator>
  <cp:lastModifiedBy>玉玺</cp:lastModifiedBy>
  <dcterms:modified xsi:type="dcterms:W3CDTF">2022-01-14T09:03:30Z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