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1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 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p>
      <w:pPr>
        <w:spacing w:line="320" w:lineRule="exact"/>
        <w:rPr>
          <w:b/>
          <w:color w:val="000000"/>
          <w:sz w:val="24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_Toc452968692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Ⅰ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节材设计</w:t>
      </w:r>
      <w:bookmarkEnd w:id="1"/>
    </w:p>
    <w:p>
      <w:pPr>
        <w:spacing w:line="320" w:lineRule="exact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7.2.1 择优选用建筑形体。（总分 </w:t>
      </w:r>
      <w:r>
        <w:rPr>
          <w:rFonts w:hint="eastAsia"/>
          <w:b/>
          <w:color w:val="000000"/>
          <w:sz w:val="24"/>
        </w:rPr>
        <w:t>10</w:t>
      </w:r>
      <w:r>
        <w:rPr>
          <w:b/>
          <w:color w:val="000000"/>
          <w:sz w:val="24"/>
        </w:rPr>
        <w:t>分）</w:t>
      </w:r>
    </w:p>
    <w:p>
      <w:pPr>
        <w:spacing w:line="320" w:lineRule="exact"/>
        <w:rPr>
          <w:rFonts w:ascii="宋体" w:hAnsi="宋体"/>
          <w:b/>
          <w:color w:val="000000"/>
          <w:szCs w:val="21"/>
        </w:rPr>
      </w:pPr>
    </w:p>
    <w:p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475"/>
        <w:gridCol w:w="2834"/>
        <w:gridCol w:w="1131"/>
        <w:gridCol w:w="1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国家标准《建筑抗震设计规范》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B50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8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-2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 规定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，建筑形体为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特别不规则和严重不规则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不规则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规则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6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2)   </w:t>
      </w:r>
      <w:r>
        <w:rPr>
          <w:b/>
          <w:color w:val="000000"/>
          <w:spacing w:val="1"/>
          <w:szCs w:val="21"/>
        </w:rPr>
        <w:t>评价要点</w:t>
      </w:r>
    </w:p>
    <w:p>
      <w:pPr>
        <w:pStyle w:val="15"/>
        <w:rPr>
          <w:sz w:val="21"/>
          <w:szCs w:val="21"/>
        </w:rPr>
      </w:pPr>
      <w:r>
        <w:rPr>
          <w:rFonts w:hint="eastAsia"/>
          <w:sz w:val="21"/>
          <w:szCs w:val="21"/>
        </w:rPr>
        <w:t>项目的结构类型：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hint="eastAsia"/>
          <w:sz w:val="21"/>
          <w:szCs w:val="21"/>
        </w:rPr>
        <w:t>混凝土结构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□钢结构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□混合结构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□砌体结构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 w:hanging="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建筑形体规则程度：□规则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☑不规则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□特别不规则或严重不规则</w:t>
      </w:r>
    </w:p>
    <w:p>
      <w:pPr>
        <w:pStyle w:val="3"/>
        <w:spacing w:line="320" w:lineRule="exact"/>
        <w:ind w:left="0" w:hanging="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建筑形体不规则具体类型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11"/>
        <w:gridCol w:w="5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不规则类型</w:t>
            </w:r>
          </w:p>
        </w:tc>
        <w:tc>
          <w:tcPr>
            <w:tcW w:w="6277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定义和参考指标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bookmarkStart w:id="2" w:name="_GoBack"/>
            <w:bookmarkEnd w:id="2"/>
            <w:r>
              <w:rPr>
                <w:rFonts w:hint="eastAsia"/>
                <w:lang w:eastAsia="zh-CN"/>
              </w:rPr>
              <w:t>☑平面不规则类型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扭转不规则</w:t>
            </w:r>
          </w:p>
        </w:tc>
        <w:tc>
          <w:tcPr>
            <w:tcW w:w="6277" w:type="dxa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在规定的水平力作用下，楼层的最大弹性水平位移或（层间位移），大于该楼层两端弹性水平位移（或层间位移）平均值的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>
              <w:rPr>
                <w:rFonts w:hint="eastAsia"/>
                <w:sz w:val="21"/>
                <w:szCs w:val="21"/>
              </w:rPr>
              <w:t>倍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凹凸不规则</w:t>
            </w:r>
          </w:p>
        </w:tc>
        <w:tc>
          <w:tcPr>
            <w:tcW w:w="6277" w:type="dxa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平面凹进的尺寸，大于相应投影方向总尺寸的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楼板局部不规则</w:t>
            </w:r>
          </w:p>
        </w:tc>
        <w:tc>
          <w:tcPr>
            <w:tcW w:w="6277" w:type="dxa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楼板的尺寸和平面刚度急剧变化，例如，有效楼板宽度小于该层楼板典型宽度的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50%</w:t>
            </w:r>
            <w:r>
              <w:rPr>
                <w:rFonts w:hint="eastAsia"/>
                <w:sz w:val="21"/>
                <w:szCs w:val="21"/>
              </w:rPr>
              <w:t>，或开洞面积大于该层楼面面积的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>
              <w:rPr>
                <w:rFonts w:hint="eastAsia"/>
                <w:sz w:val="21"/>
                <w:szCs w:val="21"/>
              </w:rPr>
              <w:t>，或较大的楼层错层。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竖向不规则类型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侧向刚度不规则</w:t>
            </w:r>
          </w:p>
        </w:tc>
        <w:tc>
          <w:tcPr>
            <w:tcW w:w="6277" w:type="dxa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该层的侧向刚度小于相邻上一层的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70%</w:t>
            </w:r>
            <w:r>
              <w:rPr>
                <w:rFonts w:hint="eastAsia"/>
                <w:sz w:val="21"/>
                <w:szCs w:val="21"/>
              </w:rPr>
              <w:t>，或小于其上相邻三个楼层侧向刚度平均值的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  <w:r>
              <w:rPr>
                <w:rFonts w:hint="eastAsia"/>
                <w:sz w:val="21"/>
                <w:szCs w:val="21"/>
              </w:rPr>
              <w:t>；除顶层或出屋面小建筑外，局部收进的水平向尺寸大于相邻下一层的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竖向抗侧力构件不连续</w:t>
            </w:r>
          </w:p>
        </w:tc>
        <w:tc>
          <w:tcPr>
            <w:tcW w:w="6277" w:type="dxa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竖向抗侧力构件（柱、抗震墙、抗震支撑）的内力由水平转换构件（梁、桁架等）向下传递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楼层承载力突变</w:t>
            </w:r>
          </w:p>
        </w:tc>
        <w:tc>
          <w:tcPr>
            <w:tcW w:w="6277" w:type="dxa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抗侧力结构的层间受剪承载力小于相邻上一楼层的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结构专业图纸及设计说明：应说明建筑形体的规则性，应提交各层结构平面图；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建筑专业图纸：应反映建筑体形；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建筑形体规则性判定报告：根据《建筑抗震设计规范》</w:t>
      </w:r>
      <w:r>
        <w:rPr>
          <w:rFonts w:ascii="Times New Roman" w:hAnsi="Times New Roman"/>
          <w:color w:val="000000"/>
          <w:lang w:eastAsia="zh-CN"/>
        </w:rPr>
        <w:t>GB 50011-2010</w:t>
      </w:r>
      <w:r>
        <w:rPr>
          <w:rFonts w:hint="eastAsia"/>
          <w:lang w:eastAsia="zh-CN"/>
        </w:rPr>
        <w:t>第</w:t>
      </w:r>
      <w:r>
        <w:rPr>
          <w:rFonts w:ascii="Times New Roman" w:hAnsi="Times New Roman"/>
          <w:color w:val="000000"/>
          <w:lang w:eastAsia="zh-CN"/>
        </w:rPr>
        <w:t>3.4.3</w:t>
      </w:r>
      <w:r>
        <w:rPr>
          <w:rFonts w:hint="eastAsia"/>
          <w:lang w:eastAsia="zh-CN"/>
        </w:rPr>
        <w:t>条进行形体规则判断，并形成结论。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lang w:eastAsia="zh-CN"/>
        </w:rPr>
        <w:t>结构专业图纸及设计说明、建筑专业图纸</w:t>
      </w: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24765</wp:posOffset>
                </wp:positionV>
                <wp:extent cx="5704205" cy="570865"/>
                <wp:effectExtent l="8255" t="10795" r="2540" b="88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570865"/>
                          <a:chOff x="1681" y="1170"/>
                          <a:chExt cx="8544" cy="2109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1175"/>
                            <a:ext cx="8532" cy="2"/>
                            <a:chOff x="1687" y="1175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117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1180"/>
                            <a:ext cx="2" cy="2088"/>
                            <a:chOff x="1692" y="1180"/>
                            <a:chExt cx="2" cy="2088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1180"/>
                              <a:ext cx="2" cy="208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1180 h 2088"/>
                                <a:gd name="T2" fmla="+- 0 3268 1180"/>
                                <a:gd name="T3" fmla="*/ 3268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3273"/>
                            <a:ext cx="8532" cy="2"/>
                            <a:chOff x="1687" y="3273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327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1180"/>
                            <a:ext cx="2" cy="2088"/>
                            <a:chOff x="10214" y="1180"/>
                            <a:chExt cx="2" cy="2088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1180"/>
                              <a:ext cx="2" cy="208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1180 h 2088"/>
                                <a:gd name="T2" fmla="+- 0 3268 1180"/>
                                <a:gd name="T3" fmla="*/ 3268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1.95pt;height:44.95pt;width:449.15pt;mso-position-horizontal-relative:page;z-index:-251657216;mso-width-relative:page;mso-height-relative:page;" coordorigin="1681,1170" coordsize="8544,2109" o:gfxdata="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C8EcAs2AAA&#10;AAkBAAAPAAAAAAAAAAEAIAAAACIAAABkcnMvZG93bnJldi54bWxQSwECFAAUAAAACACHTuJAAmXQ&#10;MVgEAAAYFwAADgAAAAAAAAABACAAAAAnAQAAZHJzL2Uyb0RvYy54bWxQSwUGAAAAAAYABgBZAQAA&#10;8QcAAAAA&#10;">
                <o:lock v:ext="edit" aspectratio="f"/>
                <v:group id="Group 3" o:spid="_x0000_s1026" o:spt="203" style="position:absolute;left:1687;top:1175;height:2;width:8532;" coordorigin="1687,1175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1175;height:2;width:8532;" filled="f" stroked="t" coordsize="8532,1" o:gfxdata="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bjT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180;height:2088;width:2;" coordorigin="1692,1180" coordsize="2,208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180;height:2088;width:2;" filled="f" stroked="t" coordsize="1,2088" o:gfxdata="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GXI68AAAA&#10;2wAAAA8AAAAAAAAAAQAgAAAAIgAAAGRycy9kb3ducmV2LnhtbFBLAQIUABQAAAAIAIdO4kAzLwWe&#10;OwAAADkAAAAQAAAAAAAAAAEAIAAAAAsBAABkcnMvc2hhcGV4bWwueG1sUEsFBgAAAAAGAAYAWwEA&#10;ALUDAAAAAA==&#10;" path="m0,0l0,2088e">
                    <v:path o:connectlocs="0,1180;0,326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273;height:2;width:8532;" coordorigin="1687,3273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3273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180;height:2088;width:2;" coordorigin="10214,1180" coordsize="2,2088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180;height:2088;width:2;" filled="f" stroked="t" coordsize="1,2088" o:gfxdata="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piRRL4A&#10;AADbAAAADwAAAAAAAAABACAAAAAiAAAAZHJzL2Rvd25yZXYueG1sUEsBAhQAFAAAAAgAh07iQDMv&#10;BZ47AAAAOQAAABAAAAAAAAAAAQAgAAAADQEAAGRycy9zaGFwZXhtbC54bWxQSwUGAAAAAAYABgBb&#10;AQAAtwMAAAAA&#10;" path="m0,0l0,2088e">
                    <v:path o:connectlocs="0,1180;0,32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lang w:eastAsia="zh-CN"/>
        </w:rPr>
        <w:t>、建筑形体规则性判定报告（</w:t>
      </w:r>
      <w:r>
        <w:rPr>
          <w:rFonts w:hint="eastAsia"/>
          <w:lang w:val="en-US" w:eastAsia="zh-CN"/>
        </w:rPr>
        <w:t>结构计算书</w:t>
      </w:r>
      <w:r>
        <w:rPr>
          <w:rFonts w:hint="eastAsia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60"/>
    <w:rsid w:val="00107471"/>
    <w:rsid w:val="00171AD5"/>
    <w:rsid w:val="003D2045"/>
    <w:rsid w:val="0044752C"/>
    <w:rsid w:val="00551A60"/>
    <w:rsid w:val="005544A3"/>
    <w:rsid w:val="00666BF0"/>
    <w:rsid w:val="00A627AF"/>
    <w:rsid w:val="00B20E33"/>
    <w:rsid w:val="00C17230"/>
    <w:rsid w:val="00D01A52"/>
    <w:rsid w:val="00D513C3"/>
    <w:rsid w:val="0D926B05"/>
    <w:rsid w:val="1B740372"/>
    <w:rsid w:val="228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条文 Char"/>
    <w:link w:val="11"/>
    <w:uiPriority w:val="0"/>
    <w:rPr>
      <w:sz w:val="24"/>
      <w:szCs w:val="24"/>
    </w:rPr>
  </w:style>
  <w:style w:type="paragraph" w:customStyle="1" w:styleId="11">
    <w:name w:val="条文"/>
    <w:basedOn w:val="1"/>
    <w:link w:val="10"/>
    <w:qFormat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2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2016-11-15T01:41:00Z</dcterms:created>
  <dc:creator>LCL</dc:creator>
  <cp:lastModifiedBy>程华松</cp:lastModifiedBy>
  <cp:lastPrinted>2016-11-15T02:43:00Z</cp:lastPrinted>
  <dcterms:modified xsi:type="dcterms:W3CDTF">2022-01-13T06:32:01Z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