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outlineLvl w:val="2"/>
        <w:rPr>
          <w:b/>
          <w:color w:val="000000"/>
          <w:sz w:val="24"/>
        </w:rPr>
      </w:pPr>
    </w:p>
    <w:p>
      <w:pPr>
        <w:spacing w:line="320" w:lineRule="exact"/>
        <w:outlineLvl w:val="2"/>
        <w:rPr>
          <w:b/>
          <w:color w:val="000000"/>
          <w:sz w:val="24"/>
        </w:rPr>
      </w:pPr>
      <w:r>
        <w:rPr>
          <w:b/>
          <w:color w:val="000000"/>
          <w:sz w:val="24"/>
        </w:rPr>
        <w:t>7.2.1</w:t>
      </w:r>
      <w:r>
        <w:rPr>
          <w:rFonts w:hint="eastAsia"/>
          <w:b/>
          <w:color w:val="000000"/>
          <w:sz w:val="24"/>
        </w:rPr>
        <w:t>1</w:t>
      </w:r>
      <w:r>
        <w:rPr>
          <w:b/>
          <w:color w:val="000000"/>
          <w:sz w:val="24"/>
        </w:rPr>
        <w:t xml:space="preserve"> 合理采用高强建筑结构材料。（总分8分）</w:t>
      </w:r>
    </w:p>
    <w:p>
      <w:pPr>
        <w:spacing w:line="320" w:lineRule="exact"/>
        <w:rPr>
          <w:rFonts w:ascii="宋体" w:hAnsi="宋体"/>
          <w:b/>
          <w:color w:val="000000"/>
          <w:szCs w:val="21"/>
        </w:rPr>
      </w:pPr>
    </w:p>
    <w:p>
      <w:pPr>
        <w:pStyle w:val="3"/>
        <w:spacing w:line="320" w:lineRule="exact"/>
        <w:ind w:left="0"/>
        <w:jc w:val="both"/>
        <w:rPr>
          <w:rFonts w:ascii="Times New Roman" w:hAnsi="Times New Roman"/>
          <w:color w:val="000000"/>
          <w:lang w:eastAsia="zh-CN"/>
        </w:rPr>
      </w:pPr>
      <w:r>
        <w:rPr>
          <w:rFonts w:ascii="Times New Roman" w:hAnsi="Times New Roman"/>
          <w:b/>
          <w:bCs/>
          <w:color w:val="000000"/>
          <w:lang w:eastAsia="zh-CN"/>
        </w:rPr>
        <w:t>1</w:t>
      </w:r>
      <w:r>
        <w:rPr>
          <w:rFonts w:ascii="Times New Roman" w:hAnsi="Times New Roman"/>
          <w:b/>
          <w:color w:val="000000"/>
          <w:spacing w:val="1"/>
          <w:lang w:eastAsia="zh-CN"/>
        </w:rPr>
        <w:t>）得</w:t>
      </w:r>
      <w:r>
        <w:rPr>
          <w:rFonts w:ascii="Times New Roman" w:hAnsi="Times New Roman"/>
          <w:b/>
          <w:color w:val="000000"/>
          <w:lang w:eastAsia="zh-CN"/>
        </w:rPr>
        <w:t>分</w:t>
      </w:r>
      <w:r>
        <w:rPr>
          <w:rFonts w:ascii="Times New Roman" w:hAnsi="Times New Roman"/>
          <w:b/>
          <w:color w:val="000000"/>
          <w:spacing w:val="1"/>
          <w:lang w:eastAsia="zh-CN"/>
        </w:rPr>
        <w:t>自</w:t>
      </w:r>
      <w:r>
        <w:rPr>
          <w:rFonts w:ascii="Times New Roman" w:hAnsi="Times New Roman"/>
          <w:b/>
          <w:color w:val="000000"/>
          <w:spacing w:val="-1"/>
          <w:lang w:eastAsia="zh-CN"/>
        </w:rPr>
        <w:t>评</w:t>
      </w:r>
    </w:p>
    <w:tbl>
      <w:tblPr>
        <w:tblStyle w:val="6"/>
        <w:tblW w:w="5000" w:type="pct"/>
        <w:tblInd w:w="0" w:type="dxa"/>
        <w:tblLayout w:type="autofit"/>
        <w:tblCellMar>
          <w:top w:w="0" w:type="dxa"/>
          <w:left w:w="0" w:type="dxa"/>
          <w:bottom w:w="0" w:type="dxa"/>
          <w:right w:w="0" w:type="dxa"/>
        </w:tblCellMar>
      </w:tblPr>
      <w:tblGrid>
        <w:gridCol w:w="790"/>
        <w:gridCol w:w="4185"/>
        <w:gridCol w:w="1424"/>
        <w:gridCol w:w="951"/>
        <w:gridCol w:w="966"/>
      </w:tblGrid>
      <w:tr>
        <w:tblPrEx>
          <w:tblCellMar>
            <w:top w:w="0" w:type="dxa"/>
            <w:left w:w="0" w:type="dxa"/>
            <w:bottom w:w="0" w:type="dxa"/>
            <w:right w:w="0" w:type="dxa"/>
          </w:tblCellMar>
        </w:tblPrEx>
        <w:trPr>
          <w:trHeight w:val="385" w:hRule="exact"/>
        </w:trPr>
        <w:tc>
          <w:tcPr>
            <w:tcW w:w="475"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pacing w:val="1"/>
                <w:sz w:val="21"/>
                <w:szCs w:val="21"/>
                <w:lang w:eastAsia="zh-CN"/>
              </w:rPr>
            </w:pPr>
            <w:r>
              <w:rPr>
                <w:rFonts w:hint="eastAsia" w:ascii="Times New Roman" w:hAnsi="Times New Roman"/>
                <w:color w:val="000000"/>
                <w:spacing w:val="1"/>
                <w:sz w:val="21"/>
                <w:szCs w:val="21"/>
                <w:lang w:eastAsia="zh-CN"/>
              </w:rPr>
              <w:t>类型</w:t>
            </w:r>
          </w:p>
        </w:tc>
        <w:tc>
          <w:tcPr>
            <w:tcW w:w="3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评价内容</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评价分</w:t>
            </w:r>
            <w:r>
              <w:rPr>
                <w:rFonts w:ascii="Times New Roman" w:hAnsi="Times New Roman"/>
                <w:color w:val="000000"/>
                <w:spacing w:val="-2"/>
                <w:sz w:val="21"/>
                <w:szCs w:val="21"/>
              </w:rPr>
              <w:t>值</w:t>
            </w:r>
            <w:r>
              <w:rPr>
                <w:rFonts w:ascii="Times New Roman" w:hAnsi="Times New Roman"/>
                <w:color w:val="000000"/>
                <w:sz w:val="21"/>
                <w:szCs w:val="21"/>
              </w:rPr>
              <w:t>（</w:t>
            </w:r>
            <w:r>
              <w:rPr>
                <w:rFonts w:ascii="Times New Roman" w:hAnsi="Times New Roman"/>
                <w:color w:val="000000"/>
                <w:spacing w:val="1"/>
                <w:sz w:val="21"/>
                <w:szCs w:val="21"/>
              </w:rPr>
              <w:t>分</w:t>
            </w:r>
            <w:r>
              <w:rPr>
                <w:rFonts w:ascii="Times New Roman" w:hAnsi="Times New Roman"/>
                <w:color w:val="000000"/>
                <w:sz w:val="21"/>
                <w:szCs w:val="21"/>
              </w:rPr>
              <w:t>）</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pacing w:val="1"/>
                <w:sz w:val="21"/>
                <w:szCs w:val="21"/>
              </w:rPr>
              <w:t>自评得</w:t>
            </w:r>
            <w:r>
              <w:rPr>
                <w:rFonts w:ascii="Times New Roman" w:hAnsi="Times New Roman"/>
                <w:color w:val="000000"/>
                <w:sz w:val="21"/>
                <w:szCs w:val="21"/>
              </w:rPr>
              <w:t>分（</w:t>
            </w:r>
            <w:r>
              <w:rPr>
                <w:rFonts w:ascii="Times New Roman" w:hAnsi="Times New Roman"/>
                <w:color w:val="000000"/>
                <w:spacing w:val="1"/>
                <w:sz w:val="21"/>
                <w:szCs w:val="21"/>
              </w:rPr>
              <w:t>分）</w:t>
            </w:r>
          </w:p>
        </w:tc>
      </w:tr>
      <w:tr>
        <w:tblPrEx>
          <w:tblCellMar>
            <w:top w:w="0" w:type="dxa"/>
            <w:left w:w="0" w:type="dxa"/>
            <w:bottom w:w="0" w:type="dxa"/>
            <w:right w:w="0" w:type="dxa"/>
          </w:tblCellMar>
        </w:tblPrEx>
        <w:trPr>
          <w:trHeight w:val="384" w:hRule="exact"/>
        </w:trPr>
        <w:tc>
          <w:tcPr>
            <w:tcW w:w="475" w:type="pct"/>
            <w:vMerge w:val="restart"/>
            <w:tcBorders>
              <w:top w:val="single" w:color="000000" w:sz="4" w:space="0"/>
              <w:left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w:t>
            </w:r>
          </w:p>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混凝土结构</w:t>
            </w:r>
          </w:p>
        </w:tc>
        <w:tc>
          <w:tcPr>
            <w:tcW w:w="2516" w:type="pct"/>
            <w:vMerge w:val="restart"/>
            <w:tcBorders>
              <w:top w:val="single" w:color="000000" w:sz="4" w:space="0"/>
              <w:left w:val="single" w:color="000000" w:sz="4" w:space="0"/>
              <w:right w:val="single" w:color="000000" w:sz="4" w:space="0"/>
            </w:tcBorders>
            <w:shd w:val="clear" w:color="auto" w:fill="auto"/>
            <w:vAlign w:val="center"/>
          </w:tcPr>
          <w:p>
            <w:pPr>
              <w:pStyle w:val="12"/>
              <w:spacing w:line="320" w:lineRule="exact"/>
              <w:jc w:val="both"/>
              <w:rPr>
                <w:rFonts w:ascii="Times New Roman" w:hAnsi="Times New Roman"/>
                <w:color w:val="000000"/>
                <w:sz w:val="21"/>
                <w:szCs w:val="21"/>
              </w:rPr>
            </w:pPr>
            <w:r>
              <w:rPr>
                <w:rFonts w:ascii="Times New Roman" w:hAnsi="Times New Roman"/>
                <w:color w:val="000000"/>
                <w:sz w:val="21"/>
                <w:szCs w:val="21"/>
                <w:lang w:eastAsia="zh-CN"/>
              </w:rPr>
              <w:t>4</w:t>
            </w:r>
            <w:r>
              <w:rPr>
                <w:rFonts w:ascii="Times New Roman" w:hAnsi="Times New Roman"/>
                <w:color w:val="000000"/>
                <w:spacing w:val="-1"/>
                <w:sz w:val="21"/>
                <w:szCs w:val="21"/>
                <w:lang w:eastAsia="zh-CN"/>
              </w:rPr>
              <w:t>0</w:t>
            </w:r>
            <w:r>
              <w:rPr>
                <w:rFonts w:ascii="Times New Roman" w:hAnsi="Times New Roman"/>
                <w:color w:val="000000"/>
                <w:sz w:val="21"/>
                <w:szCs w:val="21"/>
                <w:lang w:eastAsia="zh-CN"/>
              </w:rPr>
              <w:t>0M</w:t>
            </w:r>
            <w:r>
              <w:rPr>
                <w:rFonts w:ascii="Times New Roman" w:hAnsi="Times New Roman"/>
                <w:color w:val="000000"/>
                <w:spacing w:val="-1"/>
                <w:sz w:val="21"/>
                <w:szCs w:val="21"/>
                <w:lang w:eastAsia="zh-CN"/>
              </w:rPr>
              <w:t>P</w:t>
            </w:r>
            <w:r>
              <w:rPr>
                <w:rFonts w:ascii="Times New Roman" w:hAnsi="Times New Roman"/>
                <w:color w:val="000000"/>
                <w:sz w:val="21"/>
                <w:szCs w:val="21"/>
                <w:lang w:eastAsia="zh-CN"/>
              </w:rPr>
              <w:t>a 级</w:t>
            </w:r>
            <w:r>
              <w:rPr>
                <w:rFonts w:ascii="Times New Roman" w:hAnsi="Times New Roman"/>
                <w:color w:val="000000"/>
                <w:spacing w:val="-2"/>
                <w:sz w:val="21"/>
                <w:szCs w:val="21"/>
                <w:lang w:eastAsia="zh-CN"/>
              </w:rPr>
              <w:t>及</w:t>
            </w:r>
            <w:r>
              <w:rPr>
                <w:rFonts w:ascii="Times New Roman" w:hAnsi="Times New Roman"/>
                <w:color w:val="000000"/>
                <w:sz w:val="21"/>
                <w:szCs w:val="21"/>
                <w:lang w:eastAsia="zh-CN"/>
              </w:rPr>
              <w:t>以上受力普通钢筋的</w:t>
            </w:r>
            <w:r>
              <w:rPr>
                <w:rFonts w:ascii="Times New Roman" w:hAnsi="Times New Roman"/>
                <w:color w:val="000000"/>
                <w:sz w:val="21"/>
                <w:szCs w:val="21"/>
              </w:rPr>
              <w:t>比例</w:t>
            </w:r>
            <w:r>
              <w:rPr>
                <w:rFonts w:ascii="Times New Roman" w:hAnsi="Times New Roman"/>
                <w:color w:val="000000"/>
                <w:spacing w:val="-53"/>
                <w:sz w:val="21"/>
                <w:szCs w:val="21"/>
              </w:rPr>
              <w:t xml:space="preserve"> </w:t>
            </w:r>
            <w:r>
              <w:rPr>
                <w:rFonts w:ascii="Times New Roman" w:hAnsi="Times New Roman"/>
                <w:i/>
                <w:color w:val="000000"/>
                <w:sz w:val="21"/>
                <w:szCs w:val="21"/>
              </w:rPr>
              <w:t>Rsb</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30%</w:t>
            </w:r>
            <w:r>
              <w:rPr>
                <w:rFonts w:hint="eastAsia" w:ascii="Times New Roman" w:hAnsi="Times New Roman"/>
                <w:color w:val="000000"/>
                <w:sz w:val="21"/>
                <w:szCs w:val="21"/>
                <w:lang w:eastAsia="zh-CN"/>
              </w:rPr>
              <w:t>≤</w:t>
            </w:r>
            <w:r>
              <w:rPr>
                <w:rFonts w:ascii="Times New Roman" w:hAnsi="Times New Roman"/>
                <w:i/>
                <w:color w:val="000000"/>
                <w:sz w:val="21"/>
                <w:szCs w:val="21"/>
              </w:rPr>
              <w:t>R</w:t>
            </w:r>
            <w:r>
              <w:rPr>
                <w:rFonts w:ascii="Times New Roman" w:hAnsi="Times New Roman"/>
                <w:i/>
                <w:color w:val="000000"/>
                <w:spacing w:val="-2"/>
                <w:sz w:val="21"/>
                <w:szCs w:val="21"/>
              </w:rPr>
              <w:t>s</w:t>
            </w:r>
            <w:r>
              <w:rPr>
                <w:rFonts w:ascii="Times New Roman" w:hAnsi="Times New Roman"/>
                <w:i/>
                <w:color w:val="000000"/>
                <w:sz w:val="21"/>
                <w:szCs w:val="21"/>
              </w:rPr>
              <w:t>b</w:t>
            </w:r>
            <w:r>
              <w:rPr>
                <w:rFonts w:ascii="Times New Roman" w:hAnsi="Times New Roman"/>
                <w:color w:val="000000"/>
                <w:sz w:val="21"/>
                <w:szCs w:val="21"/>
              </w:rPr>
              <w:t>＜</w:t>
            </w:r>
            <w:r>
              <w:rPr>
                <w:rFonts w:ascii="Times New Roman" w:hAnsi="Times New Roman"/>
                <w:color w:val="000000"/>
                <w:spacing w:val="-1"/>
                <w:sz w:val="21"/>
                <w:szCs w:val="21"/>
              </w:rPr>
              <w:t>5</w:t>
            </w:r>
            <w:r>
              <w:rPr>
                <w:rFonts w:ascii="Times New Roman" w:hAnsi="Times New Roman"/>
                <w:color w:val="000000"/>
                <w:sz w:val="21"/>
                <w:szCs w:val="21"/>
              </w:rPr>
              <w:t>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475" w:type="pct"/>
            <w:vMerge w:val="continue"/>
            <w:tcBorders>
              <w:left w:val="single" w:color="000000" w:sz="4" w:space="0"/>
              <w:right w:val="single" w:color="000000" w:sz="4" w:space="0"/>
            </w:tcBorders>
            <w:vAlign w:val="center"/>
          </w:tcPr>
          <w:p>
            <w:pPr>
              <w:spacing w:line="320" w:lineRule="exact"/>
              <w:jc w:val="center"/>
              <w:rPr>
                <w:color w:val="000000"/>
                <w:szCs w:val="21"/>
              </w:rPr>
            </w:pPr>
          </w:p>
        </w:tc>
        <w:tc>
          <w:tcPr>
            <w:tcW w:w="2516" w:type="pct"/>
            <w:vMerge w:val="continue"/>
            <w:tcBorders>
              <w:left w:val="single" w:color="000000" w:sz="4" w:space="0"/>
              <w:right w:val="single" w:color="000000" w:sz="4" w:space="0"/>
            </w:tcBorders>
            <w:shd w:val="clear" w:color="auto" w:fill="auto"/>
            <w:vAlign w:val="center"/>
          </w:tcPr>
          <w:p>
            <w:pPr>
              <w:spacing w:line="320" w:lineRule="exact"/>
              <w:rPr>
                <w:color w:val="000000"/>
                <w:szCs w:val="21"/>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50%</w:t>
            </w:r>
            <w:r>
              <w:rPr>
                <w:rFonts w:hint="eastAsia" w:ascii="Times New Roman" w:hAnsi="Times New Roman"/>
                <w:color w:val="000000"/>
                <w:sz w:val="21"/>
                <w:szCs w:val="21"/>
                <w:lang w:eastAsia="zh-CN"/>
              </w:rPr>
              <w:t>≤</w:t>
            </w:r>
            <w:r>
              <w:rPr>
                <w:rFonts w:ascii="Times New Roman" w:hAnsi="Times New Roman"/>
                <w:i/>
                <w:color w:val="000000"/>
                <w:sz w:val="21"/>
                <w:szCs w:val="21"/>
              </w:rPr>
              <w:t>R</w:t>
            </w:r>
            <w:r>
              <w:rPr>
                <w:rFonts w:ascii="Times New Roman" w:hAnsi="Times New Roman"/>
                <w:i/>
                <w:color w:val="000000"/>
                <w:spacing w:val="-2"/>
                <w:sz w:val="21"/>
                <w:szCs w:val="21"/>
              </w:rPr>
              <w:t>s</w:t>
            </w:r>
            <w:r>
              <w:rPr>
                <w:rFonts w:ascii="Times New Roman" w:hAnsi="Times New Roman"/>
                <w:i/>
                <w:color w:val="000000"/>
                <w:sz w:val="21"/>
                <w:szCs w:val="21"/>
              </w:rPr>
              <w:t>b</w:t>
            </w:r>
            <w:r>
              <w:rPr>
                <w:rFonts w:ascii="Times New Roman" w:hAnsi="Times New Roman"/>
                <w:color w:val="000000"/>
                <w:sz w:val="21"/>
                <w:szCs w:val="21"/>
              </w:rPr>
              <w:t>＜</w:t>
            </w:r>
            <w:r>
              <w:rPr>
                <w:rFonts w:ascii="Times New Roman" w:hAnsi="Times New Roman"/>
                <w:color w:val="000000"/>
                <w:spacing w:val="-1"/>
                <w:sz w:val="21"/>
                <w:szCs w:val="21"/>
              </w:rPr>
              <w:t>7</w:t>
            </w:r>
            <w:r>
              <w:rPr>
                <w:rFonts w:ascii="Times New Roman" w:hAnsi="Times New Roman"/>
                <w:color w:val="000000"/>
                <w:sz w:val="21"/>
                <w:szCs w:val="21"/>
              </w:rPr>
              <w:t>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475" w:type="pct"/>
            <w:vMerge w:val="continue"/>
            <w:tcBorders>
              <w:left w:val="single" w:color="000000" w:sz="4" w:space="0"/>
              <w:right w:val="single" w:color="000000" w:sz="4" w:space="0"/>
            </w:tcBorders>
            <w:vAlign w:val="center"/>
          </w:tcPr>
          <w:p>
            <w:pPr>
              <w:spacing w:line="320" w:lineRule="exact"/>
              <w:jc w:val="center"/>
              <w:rPr>
                <w:color w:val="000000"/>
                <w:szCs w:val="21"/>
              </w:rPr>
            </w:pPr>
          </w:p>
        </w:tc>
        <w:tc>
          <w:tcPr>
            <w:tcW w:w="2516" w:type="pct"/>
            <w:vMerge w:val="continue"/>
            <w:tcBorders>
              <w:left w:val="single" w:color="000000" w:sz="4" w:space="0"/>
              <w:right w:val="single" w:color="000000" w:sz="4" w:space="0"/>
            </w:tcBorders>
            <w:shd w:val="clear" w:color="auto" w:fill="auto"/>
            <w:vAlign w:val="center"/>
          </w:tcPr>
          <w:p>
            <w:pPr>
              <w:spacing w:line="320" w:lineRule="exact"/>
              <w:rPr>
                <w:color w:val="000000"/>
                <w:szCs w:val="21"/>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color w:val="000000"/>
                <w:sz w:val="21"/>
                <w:szCs w:val="21"/>
              </w:rPr>
              <w:t>70%</w:t>
            </w:r>
            <w:r>
              <w:rPr>
                <w:rFonts w:hint="eastAsia" w:ascii="Times New Roman" w:hAnsi="Times New Roman"/>
                <w:color w:val="000000"/>
                <w:sz w:val="21"/>
                <w:szCs w:val="21"/>
                <w:lang w:eastAsia="zh-CN"/>
              </w:rPr>
              <w:t>≤</w:t>
            </w:r>
            <w:r>
              <w:rPr>
                <w:rFonts w:ascii="Times New Roman" w:hAnsi="Times New Roman"/>
                <w:i/>
                <w:color w:val="000000"/>
                <w:sz w:val="21"/>
                <w:szCs w:val="21"/>
              </w:rPr>
              <w:t>R</w:t>
            </w:r>
            <w:r>
              <w:rPr>
                <w:rFonts w:ascii="Times New Roman" w:hAnsi="Times New Roman"/>
                <w:i/>
                <w:color w:val="000000"/>
                <w:spacing w:val="-2"/>
                <w:sz w:val="21"/>
                <w:szCs w:val="21"/>
              </w:rPr>
              <w:t>s</w:t>
            </w:r>
            <w:r>
              <w:rPr>
                <w:rFonts w:ascii="Times New Roman" w:hAnsi="Times New Roman"/>
                <w:i/>
                <w:color w:val="000000"/>
                <w:sz w:val="21"/>
                <w:szCs w:val="21"/>
              </w:rPr>
              <w:t>b</w:t>
            </w:r>
            <w:r>
              <w:rPr>
                <w:rFonts w:ascii="Times New Roman" w:hAnsi="Times New Roman"/>
                <w:color w:val="000000"/>
                <w:sz w:val="21"/>
                <w:szCs w:val="21"/>
              </w:rPr>
              <w:t>＜</w:t>
            </w:r>
            <w:r>
              <w:rPr>
                <w:rFonts w:ascii="Times New Roman" w:hAnsi="Times New Roman"/>
                <w:color w:val="000000"/>
                <w:spacing w:val="-1"/>
                <w:sz w:val="21"/>
                <w:szCs w:val="21"/>
              </w:rPr>
              <w:t>8</w:t>
            </w:r>
            <w:r>
              <w:rPr>
                <w:rFonts w:ascii="Times New Roman" w:hAnsi="Times New Roman"/>
                <w:color w:val="000000"/>
                <w:sz w:val="21"/>
                <w:szCs w:val="21"/>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84" w:hRule="exact"/>
        </w:trPr>
        <w:tc>
          <w:tcPr>
            <w:tcW w:w="475" w:type="pct"/>
            <w:vMerge w:val="continue"/>
            <w:tcBorders>
              <w:left w:val="single" w:color="000000" w:sz="4" w:space="0"/>
              <w:right w:val="single" w:color="000000" w:sz="4" w:space="0"/>
            </w:tcBorders>
            <w:vAlign w:val="center"/>
          </w:tcPr>
          <w:p>
            <w:pPr>
              <w:spacing w:line="320" w:lineRule="exact"/>
              <w:jc w:val="center"/>
              <w:rPr>
                <w:color w:val="000000"/>
                <w:szCs w:val="21"/>
              </w:rPr>
            </w:pPr>
          </w:p>
        </w:tc>
        <w:tc>
          <w:tcPr>
            <w:tcW w:w="2516" w:type="pct"/>
            <w:vMerge w:val="continue"/>
            <w:tcBorders>
              <w:left w:val="single" w:color="000000" w:sz="4" w:space="0"/>
              <w:bottom w:val="single" w:color="000000" w:sz="4" w:space="0"/>
              <w:right w:val="single" w:color="000000" w:sz="4" w:space="0"/>
            </w:tcBorders>
            <w:shd w:val="clear" w:color="auto" w:fill="auto"/>
            <w:vAlign w:val="center"/>
          </w:tcPr>
          <w:p>
            <w:pPr>
              <w:spacing w:line="320" w:lineRule="exact"/>
              <w:rPr>
                <w:color w:val="000000"/>
                <w:szCs w:val="21"/>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rPr>
            </w:pPr>
            <w:r>
              <w:rPr>
                <w:rFonts w:ascii="Times New Roman" w:hAnsi="Times New Roman"/>
                <w:i/>
                <w:color w:val="000000"/>
                <w:sz w:val="21"/>
                <w:szCs w:val="21"/>
              </w:rPr>
              <w:t>Rsb</w:t>
            </w:r>
            <w:r>
              <w:rPr>
                <w:rFonts w:hint="eastAsia" w:ascii="Times New Roman" w:hAnsi="Times New Roman"/>
                <w:color w:val="000000"/>
                <w:sz w:val="21"/>
                <w:szCs w:val="21"/>
                <w:lang w:eastAsia="zh-CN"/>
              </w:rPr>
              <w:t>≥</w:t>
            </w:r>
            <w:r>
              <w:rPr>
                <w:rFonts w:ascii="Times New Roman" w:hAnsi="Times New Roman"/>
                <w:color w:val="000000"/>
                <w:spacing w:val="-1"/>
                <w:sz w:val="21"/>
                <w:szCs w:val="21"/>
              </w:rPr>
              <w:t>8</w:t>
            </w:r>
            <w:r>
              <w:rPr>
                <w:rFonts w:ascii="Times New Roman" w:hAnsi="Times New Roman"/>
                <w:color w:val="000000"/>
                <w:sz w:val="21"/>
                <w:szCs w:val="21"/>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8</w:t>
            </w:r>
          </w:p>
        </w:tc>
      </w:tr>
      <w:tr>
        <w:tblPrEx>
          <w:tblCellMar>
            <w:top w:w="0" w:type="dxa"/>
            <w:left w:w="0" w:type="dxa"/>
            <w:bottom w:w="0" w:type="dxa"/>
            <w:right w:w="0" w:type="dxa"/>
          </w:tblCellMar>
        </w:tblPrEx>
        <w:trPr>
          <w:trHeight w:val="748" w:hRule="exact"/>
        </w:trPr>
        <w:tc>
          <w:tcPr>
            <w:tcW w:w="475" w:type="pct"/>
            <w:vMerge w:val="continue"/>
            <w:tcBorders>
              <w:left w:val="single" w:color="000000" w:sz="4" w:space="0"/>
              <w:bottom w:val="single" w:color="000000" w:sz="4" w:space="0"/>
              <w:right w:val="single" w:color="000000" w:sz="4" w:space="0"/>
            </w:tcBorders>
            <w:vAlign w:val="center"/>
          </w:tcPr>
          <w:p>
            <w:pPr>
              <w:spacing w:line="320" w:lineRule="exact"/>
              <w:jc w:val="center"/>
              <w:rPr>
                <w:color w:val="000000"/>
                <w:szCs w:val="21"/>
              </w:rPr>
            </w:pPr>
          </w:p>
        </w:tc>
        <w:tc>
          <w:tcPr>
            <w:tcW w:w="2516" w:type="pct"/>
            <w:tcBorders>
              <w:left w:val="single" w:color="000000" w:sz="4" w:space="0"/>
              <w:bottom w:val="single" w:color="000000" w:sz="4" w:space="0"/>
              <w:right w:val="single" w:color="000000" w:sz="4" w:space="0"/>
            </w:tcBorders>
            <w:shd w:val="clear" w:color="auto" w:fill="auto"/>
            <w:vAlign w:val="center"/>
          </w:tcPr>
          <w:p>
            <w:pPr>
              <w:pStyle w:val="13"/>
              <w:jc w:val="both"/>
              <w:rPr>
                <w:sz w:val="21"/>
                <w:szCs w:val="21"/>
              </w:rPr>
            </w:pPr>
            <w:r>
              <w:rPr>
                <w:rFonts w:hint="eastAsia"/>
                <w:sz w:val="21"/>
                <w:szCs w:val="21"/>
              </w:rPr>
              <w:t>混凝土竖向承重结构采用强度等级不小于</w:t>
            </w:r>
            <w:r>
              <w:rPr>
                <w:rFonts w:ascii="Times New Roman" w:hAnsi="Times New Roman" w:cs="Times New Roman"/>
                <w:sz w:val="21"/>
                <w:szCs w:val="21"/>
              </w:rPr>
              <w:t>C50</w:t>
            </w:r>
            <w:r>
              <w:rPr>
                <w:rFonts w:hint="eastAsia"/>
                <w:sz w:val="21"/>
                <w:szCs w:val="21"/>
              </w:rPr>
              <w:t>混凝土用量占竖向承重结构中混凝土总量的比例</w:t>
            </w:r>
            <w:r>
              <w:rPr>
                <w:sz w:val="21"/>
                <w:szCs w:val="21"/>
              </w:rPr>
              <w:t xml:space="preserve"> </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50%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0</w:t>
            </w:r>
          </w:p>
        </w:tc>
      </w:tr>
      <w:tr>
        <w:tblPrEx>
          <w:tblCellMar>
            <w:top w:w="0" w:type="dxa"/>
            <w:left w:w="0" w:type="dxa"/>
            <w:bottom w:w="0" w:type="dxa"/>
            <w:right w:w="0" w:type="dxa"/>
          </w:tblCellMar>
        </w:tblPrEx>
        <w:trPr>
          <w:trHeight w:val="432" w:hRule="exact"/>
        </w:trPr>
        <w:tc>
          <w:tcPr>
            <w:tcW w:w="475" w:type="pct"/>
            <w:vMerge w:val="restart"/>
            <w:tcBorders>
              <w:top w:val="single" w:color="000000" w:sz="4" w:space="0"/>
              <w:left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w:t>
            </w:r>
          </w:p>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钢结构</w:t>
            </w:r>
          </w:p>
        </w:tc>
        <w:tc>
          <w:tcPr>
            <w:tcW w:w="3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jc w:val="both"/>
              <w:rPr>
                <w:sz w:val="21"/>
                <w:szCs w:val="21"/>
              </w:rPr>
            </w:pPr>
            <w:r>
              <w:rPr>
                <w:rFonts w:ascii="Times New Roman" w:hAnsi="Times New Roman" w:cs="Times New Roman"/>
                <w:sz w:val="21"/>
                <w:szCs w:val="21"/>
              </w:rPr>
              <w:t>Q345</w:t>
            </w:r>
            <w:r>
              <w:rPr>
                <w:rFonts w:hint="eastAsia"/>
                <w:sz w:val="21"/>
                <w:szCs w:val="21"/>
              </w:rPr>
              <w:t>及以上高强度钢材用量占钢材总量的比例达到</w:t>
            </w:r>
            <w:r>
              <w:rPr>
                <w:rFonts w:ascii="Times New Roman" w:hAnsi="Times New Roman" w:cs="Times New Roman"/>
                <w:sz w:val="21"/>
                <w:szCs w:val="21"/>
              </w:rPr>
              <w:t>50%</w:t>
            </w:r>
            <w:r>
              <w:rPr>
                <w:sz w:val="21"/>
                <w:szCs w:val="21"/>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6</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426" w:hRule="exact"/>
        </w:trPr>
        <w:tc>
          <w:tcPr>
            <w:tcW w:w="475" w:type="pct"/>
            <w:vMerge w:val="continue"/>
            <w:tcBorders>
              <w:left w:val="single" w:color="000000" w:sz="4" w:space="0"/>
              <w:bottom w:val="single" w:color="000000" w:sz="4" w:space="0"/>
              <w:right w:val="single" w:color="000000" w:sz="4" w:space="0"/>
            </w:tcBorders>
            <w:vAlign w:val="center"/>
          </w:tcPr>
          <w:p>
            <w:pPr>
              <w:pStyle w:val="12"/>
              <w:spacing w:line="320" w:lineRule="exact"/>
              <w:jc w:val="center"/>
              <w:rPr>
                <w:rFonts w:ascii="Times New Roman" w:hAnsi="Times New Roman"/>
                <w:color w:val="000000"/>
                <w:sz w:val="21"/>
                <w:szCs w:val="21"/>
                <w:lang w:eastAsia="zh-CN"/>
              </w:rPr>
            </w:pPr>
          </w:p>
        </w:tc>
        <w:tc>
          <w:tcPr>
            <w:tcW w:w="3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jc w:val="both"/>
              <w:rPr>
                <w:sz w:val="21"/>
                <w:szCs w:val="21"/>
              </w:rPr>
            </w:pPr>
            <w:r>
              <w:rPr>
                <w:rFonts w:ascii="Times New Roman" w:hAnsi="Times New Roman" w:cs="Times New Roman"/>
                <w:sz w:val="21"/>
                <w:szCs w:val="21"/>
              </w:rPr>
              <w:t>Q345</w:t>
            </w:r>
            <w:r>
              <w:rPr>
                <w:rFonts w:hint="eastAsia"/>
                <w:sz w:val="21"/>
                <w:szCs w:val="21"/>
              </w:rPr>
              <w:t>及以上高强度钢材用量占钢材总量的比例达到</w:t>
            </w:r>
            <w:r>
              <w:rPr>
                <w:rFonts w:hint="eastAsia" w:ascii="Times New Roman" w:hAnsi="Times New Roman" w:cs="Times New Roman"/>
                <w:sz w:val="21"/>
                <w:szCs w:val="21"/>
              </w:rPr>
              <w:t>70</w:t>
            </w:r>
            <w:r>
              <w:rPr>
                <w:rFonts w:ascii="Times New Roman" w:hAnsi="Times New Roman" w:cs="Times New Roman"/>
                <w:sz w:val="21"/>
                <w:szCs w:val="21"/>
              </w:rPr>
              <w:t xml:space="preserve">% </w:t>
            </w:r>
          </w:p>
        </w:tc>
        <w:tc>
          <w:tcPr>
            <w:tcW w:w="572" w:type="pct"/>
            <w:tcBorders>
              <w:top w:val="single" w:color="000000" w:sz="4" w:space="0"/>
              <w:left w:val="single" w:color="000000" w:sz="4" w:space="0"/>
              <w:bottom w:val="single" w:color="000000" w:sz="6"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45" w:hRule="atLeast"/>
        </w:trPr>
        <w:tc>
          <w:tcPr>
            <w:tcW w:w="475" w:type="pct"/>
            <w:vMerge w:val="restart"/>
            <w:tcBorders>
              <w:top w:val="single" w:color="000000" w:sz="4" w:space="0"/>
              <w:left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w:t>
            </w:r>
          </w:p>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混合结构</w:t>
            </w:r>
          </w:p>
        </w:tc>
        <w:tc>
          <w:tcPr>
            <w:tcW w:w="3372" w:type="pct"/>
            <w:gridSpan w:val="2"/>
            <w:tcBorders>
              <w:top w:val="single" w:color="000000" w:sz="4" w:space="0"/>
              <w:left w:val="single" w:color="000000" w:sz="4" w:space="0"/>
              <w:bottom w:val="single" w:color="000000" w:sz="4" w:space="0"/>
              <w:right w:val="single" w:color="000000" w:sz="6" w:space="0"/>
            </w:tcBorders>
            <w:shd w:val="clear" w:color="auto" w:fill="auto"/>
            <w:vAlign w:val="center"/>
          </w:tcPr>
          <w:p>
            <w:pPr>
              <w:pStyle w:val="13"/>
              <w:rPr>
                <w:sz w:val="21"/>
                <w:szCs w:val="21"/>
              </w:rPr>
            </w:pPr>
            <w:r>
              <w:rPr>
                <w:rFonts w:hint="eastAsia"/>
                <w:sz w:val="21"/>
                <w:szCs w:val="21"/>
              </w:rPr>
              <w:t>混凝土结构部分，参照第</w:t>
            </w:r>
            <w:r>
              <w:rPr>
                <w:rFonts w:ascii="Times New Roman" w:hAnsi="Times New Roman" w:cs="Times New Roman"/>
                <w:sz w:val="21"/>
                <w:szCs w:val="21"/>
              </w:rPr>
              <w:t>1</w:t>
            </w:r>
            <w:r>
              <w:rPr>
                <w:rFonts w:hint="eastAsia"/>
                <w:sz w:val="21"/>
                <w:szCs w:val="21"/>
              </w:rPr>
              <w:t>款要求（混凝土结构）</w:t>
            </w:r>
            <w:r>
              <w:rPr>
                <w:sz w:val="21"/>
                <w:szCs w:val="21"/>
              </w:rPr>
              <w:t xml:space="preserve"> </w:t>
            </w:r>
          </w:p>
        </w:tc>
        <w:tc>
          <w:tcPr>
            <w:tcW w:w="572"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2~8</w:t>
            </w:r>
          </w:p>
        </w:tc>
        <w:tc>
          <w:tcPr>
            <w:tcW w:w="581" w:type="pct"/>
            <w:vMerge w:val="restart"/>
            <w:tcBorders>
              <w:top w:val="single" w:color="000000" w:sz="4" w:space="0"/>
              <w:left w:val="single" w:color="000000" w:sz="6"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45" w:hRule="exact"/>
        </w:trPr>
        <w:tc>
          <w:tcPr>
            <w:tcW w:w="475" w:type="pct"/>
            <w:vMerge w:val="continue"/>
            <w:tcBorders>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p>
        </w:tc>
        <w:tc>
          <w:tcPr>
            <w:tcW w:w="3372" w:type="pct"/>
            <w:gridSpan w:val="2"/>
            <w:tcBorders>
              <w:top w:val="single" w:color="000000" w:sz="4" w:space="0"/>
              <w:left w:val="single" w:color="000000" w:sz="4" w:space="0"/>
              <w:bottom w:val="single" w:color="000000" w:sz="4" w:space="0"/>
              <w:right w:val="single" w:color="000000" w:sz="6" w:space="0"/>
            </w:tcBorders>
            <w:shd w:val="clear" w:color="auto" w:fill="auto"/>
            <w:vAlign w:val="center"/>
          </w:tcPr>
          <w:p>
            <w:pPr>
              <w:pStyle w:val="13"/>
              <w:rPr>
                <w:sz w:val="21"/>
                <w:szCs w:val="21"/>
              </w:rPr>
            </w:pPr>
            <w:r>
              <w:rPr>
                <w:rFonts w:hint="eastAsia"/>
                <w:sz w:val="21"/>
                <w:szCs w:val="21"/>
              </w:rPr>
              <w:t>钢结构部分，参照第</w:t>
            </w:r>
            <w:r>
              <w:rPr>
                <w:rFonts w:ascii="Times New Roman" w:hAnsi="Times New Roman" w:cs="Times New Roman"/>
                <w:sz w:val="21"/>
                <w:szCs w:val="21"/>
              </w:rPr>
              <w:t>2</w:t>
            </w:r>
            <w:r>
              <w:rPr>
                <w:rFonts w:hint="eastAsia"/>
                <w:sz w:val="21"/>
                <w:szCs w:val="21"/>
              </w:rPr>
              <w:t>款要求（钢结构）</w:t>
            </w:r>
            <w:r>
              <w:rPr>
                <w:sz w:val="21"/>
                <w:szCs w:val="21"/>
              </w:rPr>
              <w:t xml:space="preserve"> </w:t>
            </w:r>
          </w:p>
          <w:p>
            <w:pPr>
              <w:pStyle w:val="12"/>
              <w:spacing w:line="320" w:lineRule="exact"/>
              <w:rPr>
                <w:rFonts w:ascii="Times New Roman" w:hAnsi="Times New Roman"/>
                <w:color w:val="000000"/>
                <w:sz w:val="21"/>
                <w:szCs w:val="21"/>
                <w:lang w:eastAsia="zh-CN"/>
              </w:rPr>
            </w:pPr>
          </w:p>
        </w:tc>
        <w:tc>
          <w:tcPr>
            <w:tcW w:w="572" w:type="pct"/>
            <w:tcBorders>
              <w:top w:val="single" w:color="000000" w:sz="6" w:space="0"/>
              <w:left w:val="single" w:color="000000" w:sz="6" w:space="0"/>
              <w:bottom w:val="single" w:color="000000" w:sz="6" w:space="0"/>
              <w:right w:val="single" w:color="000000" w:sz="6"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2~8</w:t>
            </w:r>
          </w:p>
        </w:tc>
        <w:tc>
          <w:tcPr>
            <w:tcW w:w="581" w:type="pct"/>
            <w:vMerge w:val="continue"/>
            <w:tcBorders>
              <w:left w:val="single" w:color="000000" w:sz="6"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475" w:type="pct"/>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□其他</w:t>
            </w:r>
          </w:p>
        </w:tc>
        <w:tc>
          <w:tcPr>
            <w:tcW w:w="33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spacing w:line="320" w:lineRule="exact"/>
              <w:rPr>
                <w:rFonts w:ascii="Times New Roman" w:hAnsi="Times New Roman"/>
                <w:color w:val="000000"/>
                <w:sz w:val="21"/>
                <w:szCs w:val="21"/>
              </w:rPr>
            </w:pPr>
            <w:r>
              <w:rPr>
                <w:rFonts w:hint="eastAsia" w:ascii="Times New Roman" w:hAnsi="Times New Roman"/>
                <w:color w:val="000000"/>
                <w:sz w:val="21"/>
                <w:szCs w:val="21"/>
                <w:lang w:eastAsia="zh-CN"/>
              </w:rPr>
              <w:t>□砌体结构 □木结构</w:t>
            </w:r>
          </w:p>
        </w:tc>
        <w:tc>
          <w:tcPr>
            <w:tcW w:w="572" w:type="pct"/>
            <w:tcBorders>
              <w:top w:val="single" w:color="000000" w:sz="6" w:space="0"/>
              <w:left w:val="single" w:color="000000" w:sz="4" w:space="0"/>
              <w:bottom w:val="single" w:color="000000" w:sz="6"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不参评</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color w:val="000000"/>
                <w:szCs w:val="21"/>
              </w:rPr>
            </w:pPr>
          </w:p>
        </w:tc>
      </w:tr>
      <w:tr>
        <w:tblPrEx>
          <w:tblCellMar>
            <w:top w:w="0" w:type="dxa"/>
            <w:left w:w="0" w:type="dxa"/>
            <w:bottom w:w="0" w:type="dxa"/>
            <w:right w:w="0" w:type="dxa"/>
          </w:tblCellMar>
        </w:tblPrEx>
        <w:trPr>
          <w:trHeight w:val="385" w:hRule="exact"/>
        </w:trPr>
        <w:tc>
          <w:tcPr>
            <w:tcW w:w="3847" w:type="pct"/>
            <w:gridSpan w:val="3"/>
            <w:tcBorders>
              <w:top w:val="single" w:color="000000" w:sz="4" w:space="0"/>
              <w:left w:val="single" w:color="000000" w:sz="4" w:space="0"/>
              <w:bottom w:val="single" w:color="000000" w:sz="4" w:space="0"/>
              <w:right w:val="single" w:color="000000" w:sz="4" w:space="0"/>
            </w:tcBorders>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合计</w:t>
            </w:r>
          </w:p>
        </w:tc>
        <w:tc>
          <w:tcPr>
            <w:tcW w:w="572" w:type="pct"/>
            <w:tcBorders>
              <w:top w:val="single" w:color="000000" w:sz="6" w:space="0"/>
              <w:left w:val="single" w:color="000000" w:sz="4" w:space="0"/>
              <w:bottom w:val="single" w:color="000000" w:sz="4" w:space="0"/>
              <w:right w:val="single" w:color="000000" w:sz="4" w:space="0"/>
            </w:tcBorders>
            <w:shd w:val="clear" w:color="auto" w:fill="auto"/>
            <w:vAlign w:val="center"/>
          </w:tcPr>
          <w:p>
            <w:pPr>
              <w:pStyle w:val="12"/>
              <w:spacing w:line="320" w:lineRule="exact"/>
              <w:jc w:val="center"/>
              <w:rPr>
                <w:rFonts w:ascii="Times New Roman" w:hAnsi="Times New Roman"/>
                <w:color w:val="000000"/>
                <w:sz w:val="21"/>
                <w:szCs w:val="21"/>
                <w:lang w:eastAsia="zh-CN"/>
              </w:rPr>
            </w:pPr>
            <w:r>
              <w:rPr>
                <w:rFonts w:hint="eastAsia" w:ascii="Times New Roman" w:hAnsi="Times New Roman"/>
                <w:color w:val="000000"/>
                <w:sz w:val="21"/>
                <w:szCs w:val="21"/>
                <w:lang w:eastAsia="zh-CN"/>
              </w:rPr>
              <w:t>8</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eastAsia="宋体"/>
                <w:color w:val="000000"/>
                <w:szCs w:val="21"/>
                <w:lang w:val="en-US" w:eastAsia="zh-CN"/>
              </w:rPr>
            </w:pPr>
            <w:r>
              <w:rPr>
                <w:rFonts w:hint="eastAsia"/>
                <w:color w:val="000000"/>
                <w:szCs w:val="21"/>
                <w:lang w:val="en-US" w:eastAsia="zh-CN"/>
              </w:rPr>
              <w:t>8</w:t>
            </w:r>
          </w:p>
        </w:tc>
      </w:tr>
    </w:tbl>
    <w:p>
      <w:pPr>
        <w:spacing w:line="320" w:lineRule="exact"/>
        <w:rPr>
          <w:rFonts w:ascii="宋体" w:hAnsi="宋体"/>
          <w:color w:val="000000"/>
          <w:szCs w:val="21"/>
        </w:rPr>
      </w:pPr>
    </w:p>
    <w:p>
      <w:pPr>
        <w:pStyle w:val="3"/>
        <w:spacing w:line="320" w:lineRule="exact"/>
        <w:ind w:left="0"/>
        <w:jc w:val="both"/>
        <w:rPr>
          <w:rFonts w:ascii="Times New Roman" w:hAnsi="Times New Roman"/>
          <w:color w:val="000000"/>
          <w:lang w:eastAsia="zh-CN"/>
        </w:rPr>
      </w:pPr>
      <w:r>
        <w:rPr>
          <w:rFonts w:ascii="Times New Roman" w:hAnsi="Times New Roman"/>
          <w:b/>
          <w:bCs/>
          <w:color w:val="000000"/>
          <w:lang w:eastAsia="zh-CN"/>
        </w:rPr>
        <w:t>2</w:t>
      </w:r>
      <w:r>
        <w:rPr>
          <w:rFonts w:ascii="Times New Roman" w:hAnsi="Times New Roman"/>
          <w:color w:val="000000"/>
          <w:spacing w:val="1"/>
          <w:lang w:eastAsia="zh-CN"/>
        </w:rPr>
        <w:t>）评</w:t>
      </w:r>
      <w:r>
        <w:rPr>
          <w:rFonts w:ascii="Times New Roman" w:hAnsi="Times New Roman"/>
          <w:color w:val="000000"/>
          <w:lang w:eastAsia="zh-CN"/>
        </w:rPr>
        <w:t>价</w:t>
      </w:r>
      <w:r>
        <w:rPr>
          <w:rFonts w:ascii="Times New Roman" w:hAnsi="Times New Roman"/>
          <w:color w:val="000000"/>
          <w:spacing w:val="1"/>
          <w:lang w:eastAsia="zh-CN"/>
        </w:rPr>
        <w:t>要点</w:t>
      </w:r>
    </w:p>
    <w:p>
      <w:pPr>
        <w:pStyle w:val="13"/>
        <w:spacing w:line="320" w:lineRule="exact"/>
        <w:rPr>
          <w:sz w:val="21"/>
          <w:szCs w:val="21"/>
        </w:rPr>
      </w:pPr>
      <w:r>
        <w:rPr>
          <w:rFonts w:hint="eastAsia"/>
          <w:sz w:val="21"/>
          <w:szCs w:val="21"/>
        </w:rPr>
        <w:t>混凝土结构建筑的主体结构</w:t>
      </w:r>
      <w:r>
        <w:rPr>
          <w:rFonts w:ascii="Times New Roman" w:hAnsi="Times New Roman" w:cs="Times New Roman"/>
          <w:sz w:val="21"/>
          <w:szCs w:val="21"/>
        </w:rPr>
        <w:t>400MPa</w:t>
      </w:r>
      <w:r>
        <w:rPr>
          <w:rFonts w:hint="eastAsia"/>
          <w:sz w:val="21"/>
          <w:szCs w:val="21"/>
        </w:rPr>
        <w:t>级及以上受力普通钢筋用量</w:t>
      </w:r>
      <w:r>
        <w:rPr>
          <w:rFonts w:hint="eastAsia"/>
          <w:sz w:val="21"/>
          <w:szCs w:val="21"/>
          <w:u w:val="single"/>
        </w:rPr>
        <w:t xml:space="preserve">  </w:t>
      </w:r>
      <w:r>
        <w:rPr>
          <w:rFonts w:hint="eastAsia"/>
          <w:sz w:val="21"/>
          <w:szCs w:val="21"/>
          <w:u w:val="single"/>
          <w:lang w:val="en-US" w:eastAsia="zh-CN"/>
        </w:rPr>
        <w:t>8437</w:t>
      </w:r>
      <w:r>
        <w:rPr>
          <w:rFonts w:hint="eastAsia"/>
          <w:sz w:val="21"/>
          <w:szCs w:val="21"/>
          <w:u w:val="single"/>
        </w:rPr>
        <w:t xml:space="preserve">    </w:t>
      </w:r>
      <w:r>
        <w:rPr>
          <w:rFonts w:ascii="Times New Roman" w:hAnsi="Times New Roman" w:cs="Times New Roman"/>
          <w:sz w:val="21"/>
          <w:szCs w:val="21"/>
        </w:rPr>
        <w:t>t</w:t>
      </w:r>
      <w:r>
        <w:rPr>
          <w:rFonts w:hint="eastAsia"/>
          <w:sz w:val="21"/>
          <w:szCs w:val="21"/>
        </w:rPr>
        <w:t>，受力普通钢筋总用量</w:t>
      </w:r>
      <w:r>
        <w:rPr>
          <w:rFonts w:hint="eastAsia"/>
          <w:sz w:val="21"/>
          <w:szCs w:val="21"/>
          <w:u w:val="single"/>
        </w:rPr>
        <w:t xml:space="preserve">  </w:t>
      </w:r>
      <w:r>
        <w:rPr>
          <w:rFonts w:hint="eastAsia"/>
          <w:sz w:val="21"/>
          <w:szCs w:val="21"/>
          <w:u w:val="single"/>
          <w:lang w:val="en-US" w:eastAsia="zh-CN"/>
        </w:rPr>
        <w:t>8437</w:t>
      </w:r>
      <w:bookmarkStart w:id="0" w:name="_GoBack"/>
      <w:bookmarkEnd w:id="0"/>
      <w:r>
        <w:rPr>
          <w:rFonts w:hint="eastAsia"/>
          <w:sz w:val="21"/>
          <w:szCs w:val="21"/>
          <w:u w:val="single"/>
        </w:rPr>
        <w:t xml:space="preserve">   </w:t>
      </w:r>
      <w:r>
        <w:rPr>
          <w:rFonts w:ascii="Times New Roman" w:hAnsi="Times New Roman" w:cs="Times New Roman"/>
          <w:sz w:val="21"/>
          <w:szCs w:val="21"/>
        </w:rPr>
        <w:t>t</w:t>
      </w:r>
      <w:r>
        <w:rPr>
          <w:rFonts w:hint="eastAsia"/>
          <w:sz w:val="21"/>
          <w:szCs w:val="21"/>
        </w:rPr>
        <w:t>，</w:t>
      </w:r>
      <w:r>
        <w:rPr>
          <w:rFonts w:ascii="Times New Roman" w:hAnsi="Times New Roman" w:cs="Times New Roman"/>
          <w:sz w:val="21"/>
          <w:szCs w:val="21"/>
        </w:rPr>
        <w:t>400MPa</w:t>
      </w:r>
      <w:r>
        <w:rPr>
          <w:rFonts w:hint="eastAsia"/>
          <w:sz w:val="21"/>
          <w:szCs w:val="21"/>
        </w:rPr>
        <w:t>级及以上受力普通钢筋用量的比例</w:t>
      </w:r>
      <w:r>
        <w:rPr>
          <w:rFonts w:hint="eastAsia"/>
          <w:sz w:val="21"/>
          <w:szCs w:val="21"/>
          <w:u w:val="single"/>
        </w:rPr>
        <w:t xml:space="preserve">  </w:t>
      </w:r>
      <w:r>
        <w:rPr>
          <w:rFonts w:hint="eastAsia"/>
          <w:sz w:val="21"/>
          <w:szCs w:val="21"/>
          <w:u w:val="single"/>
          <w:lang w:val="en-US" w:eastAsia="zh-CN"/>
        </w:rPr>
        <w:t>100</w:t>
      </w:r>
      <w:r>
        <w:rPr>
          <w:rFonts w:hint="eastAsia"/>
          <w:sz w:val="21"/>
          <w:szCs w:val="21"/>
          <w:u w:val="single"/>
        </w:rPr>
        <w:t xml:space="preserve">    </w:t>
      </w:r>
      <w:r>
        <w:rPr>
          <w:rFonts w:hint="eastAsia"/>
          <w:sz w:val="21"/>
          <w:szCs w:val="21"/>
        </w:rPr>
        <w:t>%</w:t>
      </w:r>
      <w:r>
        <w:rPr>
          <w:sz w:val="21"/>
          <w:szCs w:val="21"/>
        </w:rPr>
        <w:t xml:space="preserve"> </w:t>
      </w:r>
    </w:p>
    <w:p>
      <w:pPr>
        <w:pStyle w:val="13"/>
        <w:spacing w:line="320" w:lineRule="exact"/>
        <w:rPr>
          <w:sz w:val="21"/>
          <w:szCs w:val="21"/>
        </w:rPr>
      </w:pPr>
      <w:r>
        <w:rPr>
          <w:rFonts w:hint="eastAsia"/>
          <w:sz w:val="21"/>
          <w:szCs w:val="21"/>
        </w:rPr>
        <w:t>混凝土结构或混合结构中竖向承重结构中采用强度等级在</w:t>
      </w:r>
      <w:r>
        <w:rPr>
          <w:rFonts w:ascii="Times New Roman" w:hAnsi="Times New Roman" w:cs="Times New Roman"/>
          <w:sz w:val="21"/>
          <w:szCs w:val="21"/>
        </w:rPr>
        <w:t>C50</w:t>
      </w:r>
      <w:r>
        <w:rPr>
          <w:rFonts w:hint="eastAsia"/>
          <w:sz w:val="21"/>
          <w:szCs w:val="21"/>
        </w:rPr>
        <w:t>（或以上）混凝土用量</w:t>
      </w:r>
      <w:r>
        <w:rPr>
          <w:rFonts w:hint="eastAsia"/>
          <w:sz w:val="21"/>
          <w:szCs w:val="21"/>
          <w:u w:val="single"/>
        </w:rPr>
        <w:t xml:space="preserve">      </w:t>
      </w:r>
      <w:r>
        <w:rPr>
          <w:rFonts w:hint="eastAsia" w:ascii="Times New Roman" w:hAnsi="Times New Roman" w:cs="Times New Roman"/>
          <w:sz w:val="21"/>
          <w:szCs w:val="21"/>
        </w:rPr>
        <w:t>t</w:t>
      </w:r>
      <w:r>
        <w:rPr>
          <w:rFonts w:hint="eastAsia"/>
          <w:sz w:val="21"/>
          <w:szCs w:val="21"/>
        </w:rPr>
        <w:t>，竖向承重结构中混凝土总用量</w:t>
      </w:r>
      <w:r>
        <w:rPr>
          <w:rFonts w:hint="eastAsia"/>
          <w:sz w:val="21"/>
          <w:szCs w:val="21"/>
          <w:u w:val="single"/>
        </w:rPr>
        <w:t xml:space="preserve">     </w:t>
      </w:r>
      <w:r>
        <w:rPr>
          <w:rFonts w:ascii="Times New Roman" w:hAnsi="Times New Roman" w:cs="Times New Roman"/>
          <w:sz w:val="21"/>
          <w:szCs w:val="21"/>
        </w:rPr>
        <w:t>t</w:t>
      </w:r>
      <w:r>
        <w:rPr>
          <w:rFonts w:hint="eastAsia"/>
          <w:sz w:val="21"/>
          <w:szCs w:val="21"/>
        </w:rPr>
        <w:t>，强度等级在</w:t>
      </w:r>
      <w:r>
        <w:rPr>
          <w:rFonts w:ascii="Times New Roman" w:hAnsi="Times New Roman" w:cs="Times New Roman"/>
          <w:sz w:val="21"/>
          <w:szCs w:val="21"/>
        </w:rPr>
        <w:t>C50</w:t>
      </w:r>
      <w:r>
        <w:rPr>
          <w:rFonts w:hint="eastAsia"/>
          <w:sz w:val="21"/>
          <w:szCs w:val="21"/>
        </w:rPr>
        <w:t>（或以上）混凝土占竖向承重结构中混凝土总量的比例</w:t>
      </w:r>
      <w:r>
        <w:rPr>
          <w:rFonts w:hint="eastAsia"/>
          <w:sz w:val="21"/>
          <w:szCs w:val="21"/>
          <w:u w:val="single"/>
        </w:rPr>
        <w:t xml:space="preserve">         </w:t>
      </w:r>
      <w:r>
        <w:rPr>
          <w:rFonts w:hint="eastAsia"/>
          <w:sz w:val="21"/>
          <w:szCs w:val="21"/>
        </w:rPr>
        <w:t>%</w:t>
      </w:r>
    </w:p>
    <w:p>
      <w:pPr>
        <w:pStyle w:val="3"/>
        <w:spacing w:line="320" w:lineRule="exact"/>
        <w:ind w:left="0"/>
        <w:jc w:val="both"/>
        <w:rPr>
          <w:lang w:eastAsia="zh-CN"/>
        </w:rPr>
      </w:pPr>
      <w:r>
        <w:rPr>
          <w:rFonts w:hint="eastAsia"/>
          <w:lang w:eastAsia="zh-CN"/>
        </w:rPr>
        <w:t>钢结构建筑或混合结构中</w:t>
      </w:r>
      <w:r>
        <w:rPr>
          <w:rFonts w:ascii="Times New Roman" w:hAnsi="Times New Roman"/>
          <w:color w:val="000000"/>
          <w:lang w:eastAsia="zh-CN"/>
        </w:rPr>
        <w:t>Q345</w:t>
      </w:r>
      <w:r>
        <w:rPr>
          <w:rFonts w:hint="eastAsia"/>
          <w:lang w:eastAsia="zh-CN"/>
        </w:rPr>
        <w:t>及以上高强钢材用量</w:t>
      </w:r>
      <w:r>
        <w:rPr>
          <w:rFonts w:hint="eastAsia"/>
          <w:u w:val="single"/>
          <w:lang w:eastAsia="zh-CN"/>
        </w:rPr>
        <w:t xml:space="preserve">       </w:t>
      </w:r>
      <w:r>
        <w:rPr>
          <w:rFonts w:hint="eastAsia" w:ascii="Times New Roman" w:hAnsi="Times New Roman"/>
          <w:color w:val="000000"/>
          <w:lang w:eastAsia="zh-CN"/>
        </w:rPr>
        <w:t xml:space="preserve"> t</w:t>
      </w:r>
      <w:r>
        <w:rPr>
          <w:rFonts w:hint="eastAsia"/>
          <w:lang w:eastAsia="zh-CN"/>
        </w:rPr>
        <w:t>，钢材总用量</w:t>
      </w:r>
      <w:r>
        <w:rPr>
          <w:rFonts w:hint="eastAsia"/>
          <w:u w:val="single"/>
          <w:lang w:eastAsia="zh-CN"/>
        </w:rPr>
        <w:t xml:space="preserve">     </w:t>
      </w:r>
      <w:r>
        <w:rPr>
          <w:rFonts w:hint="eastAsia" w:ascii="Times New Roman" w:hAnsi="Times New Roman"/>
          <w:color w:val="000000"/>
          <w:lang w:eastAsia="zh-CN"/>
        </w:rPr>
        <w:t>t</w:t>
      </w:r>
      <w:r>
        <w:rPr>
          <w:rFonts w:hint="eastAsia"/>
          <w:lang w:eastAsia="zh-CN"/>
        </w:rPr>
        <w:t>，</w:t>
      </w:r>
      <w:r>
        <w:rPr>
          <w:rFonts w:ascii="Times New Roman" w:hAnsi="Times New Roman"/>
          <w:color w:val="000000"/>
          <w:lang w:eastAsia="zh-CN"/>
        </w:rPr>
        <w:t>Q345</w:t>
      </w:r>
      <w:r>
        <w:rPr>
          <w:rFonts w:hint="eastAsia"/>
          <w:lang w:eastAsia="zh-CN"/>
        </w:rPr>
        <w:t>及以上高强钢材用量的比例</w:t>
      </w:r>
      <w:r>
        <w:rPr>
          <w:rFonts w:hint="eastAsia"/>
          <w:u w:val="single"/>
          <w:lang w:eastAsia="zh-CN"/>
        </w:rPr>
        <w:t xml:space="preserve">        </w:t>
      </w:r>
      <w:r>
        <w:rPr>
          <w:rFonts w:hint="eastAsia" w:ascii="Times New Roman" w:hAnsi="Times New Roman"/>
          <w:color w:val="000000"/>
          <w:lang w:eastAsia="zh-CN"/>
        </w:rPr>
        <w:t>t</w:t>
      </w:r>
    </w:p>
    <w:p>
      <w:pPr>
        <w:pStyle w:val="3"/>
        <w:spacing w:line="320" w:lineRule="exact"/>
        <w:ind w:left="0"/>
        <w:jc w:val="both"/>
        <w:rPr>
          <w:rFonts w:ascii="Times New Roman" w:hAnsi="Times New Roman"/>
          <w:b/>
          <w:bCs/>
          <w:color w:val="000000"/>
          <w:lang w:eastAsia="zh-CN"/>
        </w:rPr>
      </w:pPr>
    </w:p>
    <w:p>
      <w:pPr>
        <w:pStyle w:val="3"/>
        <w:spacing w:line="320" w:lineRule="exact"/>
        <w:ind w:left="0"/>
        <w:jc w:val="both"/>
        <w:rPr>
          <w:rFonts w:ascii="Times New Roman" w:hAnsi="Times New Roman"/>
          <w:b/>
          <w:color w:val="000000"/>
          <w:spacing w:val="1"/>
          <w:lang w:eastAsia="zh-CN"/>
        </w:rPr>
      </w:pPr>
      <w:r>
        <w:rPr>
          <w:rFonts w:ascii="Times New Roman" w:hAnsi="Times New Roman"/>
          <w:b/>
          <w:bCs/>
          <w:color w:val="000000"/>
          <w:lang w:eastAsia="zh-CN"/>
        </w:rPr>
        <w:t>3</w:t>
      </w:r>
      <w:r>
        <w:rPr>
          <w:rFonts w:ascii="Times New Roman" w:hAnsi="Times New Roman"/>
          <w:b/>
          <w:color w:val="000000"/>
          <w:spacing w:val="1"/>
          <w:lang w:eastAsia="zh-CN"/>
        </w:rPr>
        <w:t>）证</w:t>
      </w:r>
      <w:r>
        <w:rPr>
          <w:rFonts w:ascii="Times New Roman" w:hAnsi="Times New Roman"/>
          <w:b/>
          <w:color w:val="000000"/>
          <w:spacing w:val="-1"/>
          <w:lang w:eastAsia="zh-CN"/>
        </w:rPr>
        <w:t>明</w:t>
      </w:r>
      <w:r>
        <w:rPr>
          <w:rFonts w:ascii="Times New Roman" w:hAnsi="Times New Roman"/>
          <w:b/>
          <w:color w:val="000000"/>
          <w:spacing w:val="1"/>
          <w:lang w:eastAsia="zh-CN"/>
        </w:rPr>
        <w:t xml:space="preserve">材料 </w:t>
      </w:r>
    </w:p>
    <w:p>
      <w:pPr>
        <w:pStyle w:val="3"/>
        <w:spacing w:line="320" w:lineRule="exact"/>
        <w:ind w:left="0"/>
        <w:jc w:val="both"/>
        <w:rPr>
          <w:rFonts w:ascii="Times New Roman" w:hAnsi="Times New Roman"/>
          <w:b/>
          <w:color w:val="000000"/>
          <w:lang w:eastAsia="zh-CN"/>
        </w:rPr>
      </w:pPr>
      <w:r>
        <w:rPr>
          <w:rFonts w:ascii="Times New Roman" w:hAnsi="Times New Roman"/>
          <w:b/>
          <w:color w:val="000000"/>
          <w:spacing w:val="1"/>
          <w:lang w:eastAsia="zh-CN"/>
        </w:rPr>
        <w:t>提交材</w:t>
      </w:r>
      <w:r>
        <w:rPr>
          <w:rFonts w:ascii="Times New Roman" w:hAnsi="Times New Roman"/>
          <w:b/>
          <w:color w:val="000000"/>
          <w:lang w:eastAsia="zh-CN"/>
        </w:rPr>
        <w:t>料</w:t>
      </w:r>
      <w:r>
        <w:rPr>
          <w:rFonts w:ascii="Times New Roman" w:hAnsi="Times New Roman"/>
          <w:b/>
          <w:color w:val="000000"/>
          <w:spacing w:val="-1"/>
          <w:lang w:eastAsia="zh-CN"/>
        </w:rPr>
        <w:t>及</w:t>
      </w:r>
      <w:r>
        <w:rPr>
          <w:rFonts w:ascii="Times New Roman" w:hAnsi="Times New Roman"/>
          <w:b/>
          <w:color w:val="000000"/>
          <w:spacing w:val="1"/>
          <w:lang w:eastAsia="zh-CN"/>
        </w:rPr>
        <w:t>要求</w:t>
      </w:r>
      <w:r>
        <w:rPr>
          <w:rFonts w:ascii="Times New Roman" w:hAnsi="Times New Roman"/>
          <w:b/>
          <w:color w:val="000000"/>
          <w:lang w:eastAsia="zh-CN"/>
        </w:rPr>
        <w:t>：</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1. </w:t>
      </w:r>
      <w:r>
        <w:rPr>
          <w:rFonts w:hint="eastAsia"/>
          <w:lang w:eastAsia="zh-CN"/>
        </w:rPr>
        <w:t>结构专业图纸及设计说明：应说明高强度材料的强度等级及使用部位，配筋图应明确构件使用高强度材料的强度等级及位置；</w:t>
      </w:r>
    </w:p>
    <w:p>
      <w:pPr>
        <w:pStyle w:val="3"/>
        <w:spacing w:line="320" w:lineRule="exact"/>
        <w:ind w:left="0"/>
        <w:jc w:val="both"/>
        <w:rPr>
          <w:rFonts w:ascii="Times New Roman" w:hAnsi="Times New Roman"/>
          <w:color w:val="000000"/>
          <w:lang w:eastAsia="zh-CN"/>
        </w:rPr>
      </w:pPr>
      <w:r>
        <w:rPr>
          <w:rFonts w:hint="eastAsia" w:ascii="Times New Roman" w:hAnsi="Times New Roman"/>
          <w:color w:val="000000"/>
          <w:lang w:eastAsia="zh-CN"/>
        </w:rPr>
        <w:t xml:space="preserve">2. </w:t>
      </w:r>
      <w:r>
        <w:rPr>
          <w:rFonts w:hint="eastAsia"/>
          <w:lang w:eastAsia="zh-CN"/>
        </w:rPr>
        <w:t>所采用的高强度材料用量比例计算书：混凝土结构应提供高强钢筋的使用比例计算书、竖向承重结构高强混凝土的使用比例计算书；钢结构中高强度钢的比例计算书；混合结构应提供高强钢筋的使用比例计算书、竖向承重结构高强混凝土的使用比例计算书和高强度钢的比例计算书。</w:t>
      </w:r>
    </w:p>
    <w:p>
      <w:pPr>
        <w:pStyle w:val="3"/>
        <w:spacing w:line="320" w:lineRule="exact"/>
        <w:ind w:left="0"/>
        <w:jc w:val="both"/>
        <w:rPr>
          <w:rFonts w:ascii="Times New Roman" w:hAnsi="Times New Roman"/>
          <w:color w:val="000000"/>
          <w:lang w:eastAsia="zh-CN"/>
        </w:rPr>
      </w:pPr>
      <w:r>
        <w:rPr>
          <w:rFonts w:ascii="Times New Roman" w:hAnsi="Times New Roman"/>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248920</wp:posOffset>
                </wp:positionV>
                <wp:extent cx="5425440" cy="734060"/>
                <wp:effectExtent l="10160" t="10160" r="3175" b="8255"/>
                <wp:wrapNone/>
                <wp:docPr id="19" name="组合 19"/>
                <wp:cNvGraphicFramePr/>
                <a:graphic xmlns:a="http://schemas.openxmlformats.org/drawingml/2006/main">
                  <a:graphicData uri="http://schemas.microsoft.com/office/word/2010/wordprocessingGroup">
                    <wpg:wgp>
                      <wpg:cNvGrpSpPr/>
                      <wpg:grpSpPr>
                        <a:xfrm>
                          <a:off x="0" y="0"/>
                          <a:ext cx="5425440" cy="734060"/>
                          <a:chOff x="1681" y="392"/>
                          <a:chExt cx="8544" cy="1156"/>
                        </a:xfrm>
                      </wpg:grpSpPr>
                      <wpg:grpSp>
                        <wpg:cNvPr id="20" name="Group 3"/>
                        <wpg:cNvGrpSpPr/>
                        <wpg:grpSpPr>
                          <a:xfrm>
                            <a:off x="1687" y="398"/>
                            <a:ext cx="8532" cy="2"/>
                            <a:chOff x="1687" y="398"/>
                            <a:chExt cx="8532" cy="2"/>
                          </a:xfrm>
                        </wpg:grpSpPr>
                        <wps:wsp>
                          <wps:cNvPr id="21" name="Freeform 4"/>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22" name="Group 5"/>
                        <wpg:cNvGrpSpPr/>
                        <wpg:grpSpPr>
                          <a:xfrm>
                            <a:off x="1692" y="402"/>
                            <a:ext cx="2" cy="1135"/>
                            <a:chOff x="1692" y="402"/>
                            <a:chExt cx="2" cy="1135"/>
                          </a:xfrm>
                        </wpg:grpSpPr>
                        <wps:wsp>
                          <wps:cNvPr id="23" name="Freeform 6"/>
                          <wps:cNvSpPr/>
                          <wps:spPr bwMode="auto">
                            <a:xfrm>
                              <a:off x="1692"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79">
                              <a:solidFill>
                                <a:srgbClr val="000000"/>
                              </a:solidFill>
                              <a:round/>
                            </a:ln>
                          </wps:spPr>
                          <wps:bodyPr rot="0" vert="horz" wrap="square" lIns="91440" tIns="45720" rIns="91440" bIns="45720" anchor="t" anchorCtr="0" upright="1">
                            <a:noAutofit/>
                          </wps:bodyPr>
                        </wps:wsp>
                      </wpg:grpSp>
                      <wpg:grpSp>
                        <wpg:cNvPr id="24" name="Group 7"/>
                        <wpg:cNvGrpSpPr/>
                        <wpg:grpSpPr>
                          <a:xfrm>
                            <a:off x="1687" y="1542"/>
                            <a:ext cx="8532" cy="2"/>
                            <a:chOff x="1687" y="1542"/>
                            <a:chExt cx="8532" cy="2"/>
                          </a:xfrm>
                        </wpg:grpSpPr>
                        <wps:wsp>
                          <wps:cNvPr id="25" name="Freeform 8"/>
                          <wps:cNvSpPr/>
                          <wps:spPr bwMode="auto">
                            <a:xfrm>
                              <a:off x="1687" y="154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ln>
                          </wps:spPr>
                          <wps:bodyPr rot="0" vert="horz" wrap="square" lIns="91440" tIns="45720" rIns="91440" bIns="45720" anchor="t" anchorCtr="0" upright="1">
                            <a:noAutofit/>
                          </wps:bodyPr>
                        </wps:wsp>
                      </wpg:grpSp>
                      <wpg:grpSp>
                        <wpg:cNvPr id="26" name="Group 9"/>
                        <wpg:cNvGrpSpPr/>
                        <wpg:grpSpPr>
                          <a:xfrm>
                            <a:off x="10214" y="402"/>
                            <a:ext cx="2" cy="1135"/>
                            <a:chOff x="10214" y="402"/>
                            <a:chExt cx="2" cy="1135"/>
                          </a:xfrm>
                        </wpg:grpSpPr>
                        <wps:wsp>
                          <wps:cNvPr id="27" name="Freeform 10"/>
                          <wps:cNvSpPr/>
                          <wps:spPr bwMode="auto">
                            <a:xfrm>
                              <a:off x="10214" y="402"/>
                              <a:ext cx="2" cy="1135"/>
                            </a:xfrm>
                            <a:custGeom>
                              <a:avLst/>
                              <a:gdLst>
                                <a:gd name="T0" fmla="+- 0 402 402"/>
                                <a:gd name="T1" fmla="*/ 402 h 1135"/>
                                <a:gd name="T2" fmla="+- 0 1538 402"/>
                                <a:gd name="T3" fmla="*/ 1538 h 1135"/>
                              </a:gdLst>
                              <a:ahLst/>
                              <a:cxnLst>
                                <a:cxn ang="0">
                                  <a:pos x="0" y="T1"/>
                                </a:cxn>
                                <a:cxn ang="0">
                                  <a:pos x="0" y="T3"/>
                                </a:cxn>
                              </a:cxnLst>
                              <a:rect l="0" t="0" r="r" b="b"/>
                              <a:pathLst>
                                <a:path h="1135">
                                  <a:moveTo>
                                    <a:pt x="0" y="0"/>
                                  </a:moveTo>
                                  <a:lnTo>
                                    <a:pt x="0" y="1136"/>
                                  </a:lnTo>
                                </a:path>
                              </a:pathLst>
                            </a:custGeom>
                            <a:noFill/>
                            <a:ln w="7366">
                              <a:solidFill>
                                <a:srgbClr val="000000"/>
                              </a:solidFill>
                              <a:round/>
                            </a:ln>
                          </wps:spPr>
                          <wps:bodyPr rot="0" vert="horz" wrap="square" lIns="91440" tIns="45720" rIns="91440" bIns="45720" anchor="t" anchorCtr="0" upright="1">
                            <a:noAutofit/>
                          </wps:bodyPr>
                        </wps:wsp>
                      </wpg:grpSp>
                    </wpg:wgp>
                  </a:graphicData>
                </a:graphic>
              </wp:anchor>
            </w:drawing>
          </mc:Choice>
          <mc:Fallback>
            <w:pict>
              <v:group id="_x0000_s1026" o:spid="_x0000_s1026" o:spt="203" style="position:absolute;left:0pt;margin-left:84.05pt;margin-top:19.6pt;height:57.8pt;width:427.2pt;mso-position-horizontal-relative:page;z-index:-251657216;mso-width-relative:page;mso-height-relative:page;" coordorigin="1681,392" coordsize="8544,1156" o:gfxdata="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">
                <o:lock v:ext="edit" aspectratio="f"/>
                <v:group id="Group 3" o:spid="_x0000_s1026" o:spt="203" style="position:absolute;left:1687;top:398;height:2;width:8532;" coordorigin="1687,398" coordsize="8532,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Freeform 4" o:spid="_x0000_s1026" o:spt="100" style="position:absolute;left:1687;top:398;height:2;width:8532;" filled="f" stroked="t" coordsize="8532,1" o:gfxdata="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uXZ97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5" o:spid="_x0000_s1026" o:spt="203" style="position:absolute;left:1692;top:402;height:1135;width:2;" coordorigin="1692,402" coordsize="2,1135"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shape id="Freeform 6" o:spid="_x0000_s1026" o:spt="100" style="position:absolute;left:1692;top:402;height:1135;width:2;" filled="f" stroked="t" coordsize="1,1135" o:gfxdata="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6KbfvQAA&#10;ANsAAAAPAAAAAAAAAAEAIAAAACIAAABkcnMvZG93bnJldi54bWxQSwECFAAUAAAACACHTuJAMy8F&#10;njsAAAA5AAAAEAAAAAAAAAABACAAAAAMAQAAZHJzL3NoYXBleG1sLnhtbFBLBQYAAAAABgAGAFsB&#10;AAC2AwAAAAA=&#10;" path="m0,0l0,1136e">
                    <v:path o:connectlocs="0,402;0,1538" o:connectangles="0,0"/>
                    <v:fill on="f" focussize="0,0"/>
                    <v:stroke weight="0.581023622047244pt" color="#000000" joinstyle="round"/>
                    <v:imagedata o:title=""/>
                    <o:lock v:ext="edit" aspectratio="f"/>
                  </v:shape>
                </v:group>
                <v:group id="Group 7" o:spid="_x0000_s1026" o:spt="203" style="position:absolute;left:1687;top:1542;height:2;width:8532;" coordorigin="1687,1542" coordsize="8532,2"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shape id="Freeform 8" o:spid="_x0000_s1026" o:spt="100" style="position:absolute;left:1687;top:1542;height:2;width:8532;" filled="f" stroked="t" coordsize="8532,1" o:gfxdata="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7f9L4A&#10;AADbAAAADwAAAAAAAAABACAAAAAiAAAAZHJzL2Rvd25yZXYueG1sUEsBAhQAFAAAAAgAh07iQDMv&#10;BZ47AAAAOQAAABAAAAAAAAAAAQAgAAAADQEAAGRycy9zaGFwZXhtbC54bWxQSwUGAAAAAAYABgBb&#10;AQAAtwMAAAAA&#10;" path="m0,0l8532,0e">
                    <v:path o:connectlocs="0,0;8532,0" o:connectangles="0,0"/>
                    <v:fill on="f" focussize="0,0"/>
                    <v:stroke weight="0.581023622047244pt" color="#000000" joinstyle="round"/>
                    <v:imagedata o:title=""/>
                    <o:lock v:ext="edit" aspectratio="f"/>
                  </v:shape>
                </v:group>
                <v:group id="Group 9" o:spid="_x0000_s1026" o:spt="203" style="position:absolute;left:10214;top:402;height:1135;width:2;" coordorigin="10214,402" coordsize="2,1135"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Freeform 10" o:spid="_x0000_s1026" o:spt="100" style="position:absolute;left:10214;top:402;height:1135;width:2;" filled="f" stroked="t" coordsize="1,1135" o:gfxdata="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vbBb4A&#10;AADbAAAADwAAAAAAAAABACAAAAAiAAAAZHJzL2Rvd25yZXYueG1sUEsBAhQAFAAAAAgAh07iQDMv&#10;BZ47AAAAOQAAABAAAAAAAAAAAQAgAAAADQEAAGRycy9zaGFwZXhtbC54bWxQSwUGAAAAAAYABgBb&#10;AQAAtwMAAAAA&#10;" path="m0,0l0,1136e">
                    <v:path o:connectlocs="0,402;0,1538" o:connectangles="0,0"/>
                    <v:fill on="f" focussize="0,0"/>
                    <v:stroke weight="0.58pt" color="#000000" joinstyle="round"/>
                    <v:imagedata o:title=""/>
                    <o:lock v:ext="edit" aspectratio="f"/>
                  </v:shape>
                </v:group>
              </v:group>
            </w:pict>
          </mc:Fallback>
        </mc:AlternateContent>
      </w:r>
      <w:r>
        <w:rPr>
          <w:rFonts w:ascii="Times New Roman" w:hAnsi="Times New Roman"/>
          <w:color w:val="000000"/>
          <w:lang w:eastAsia="zh-CN"/>
        </w:rPr>
        <w:t>实际提交材料：</w:t>
      </w:r>
    </w:p>
    <w:p>
      <w:pPr>
        <w:spacing w:line="320" w:lineRule="exact"/>
        <w:rPr>
          <w:color w:val="000000"/>
          <w:szCs w:val="21"/>
        </w:rPr>
      </w:pPr>
    </w:p>
    <w:p>
      <w:pPr>
        <w:spacing w:line="320" w:lineRule="exact"/>
        <w:rPr>
          <w:color w:val="000000"/>
          <w:szCs w:val="21"/>
        </w:rPr>
      </w:pPr>
      <w:r>
        <w:rPr>
          <w:rFonts w:hint="eastAsia"/>
          <w:lang w:eastAsia="zh-CN"/>
        </w:rPr>
        <w:t>结构专业图纸及设计说明、所采用的高强度材料用量比例计算书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0F"/>
    <w:rsid w:val="00225B83"/>
    <w:rsid w:val="00291E49"/>
    <w:rsid w:val="00391095"/>
    <w:rsid w:val="00435211"/>
    <w:rsid w:val="00440AA8"/>
    <w:rsid w:val="004C1147"/>
    <w:rsid w:val="005544A3"/>
    <w:rsid w:val="00666BF0"/>
    <w:rsid w:val="008A630F"/>
    <w:rsid w:val="00AC155C"/>
    <w:rsid w:val="00B455E8"/>
    <w:rsid w:val="00D01A52"/>
    <w:rsid w:val="03387483"/>
    <w:rsid w:val="243F0474"/>
    <w:rsid w:val="39FB6F47"/>
    <w:rsid w:val="7E19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1"/>
    <w:pPr>
      <w:ind w:left="140"/>
      <w:jc w:val="left"/>
      <w:outlineLvl w:val="0"/>
    </w:pPr>
    <w:rPr>
      <w:rFonts w:ascii="Microsoft JhengHei Light" w:hAnsi="Microsoft JhengHei Light" w:eastAsia="Microsoft JhengHei Light"/>
      <w:kern w:val="0"/>
      <w:sz w:val="24"/>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140"/>
      <w:jc w:val="left"/>
    </w:pPr>
    <w:rPr>
      <w:rFonts w:ascii="宋体" w:hAnsi="宋体"/>
      <w:kern w:val="0"/>
      <w:szCs w:val="21"/>
      <w:lang w:eastAsia="en-US"/>
    </w:rPr>
  </w:style>
  <w:style w:type="paragraph" w:styleId="4">
    <w:name w:val="footer"/>
    <w:basedOn w:val="1"/>
    <w:link w:val="9"/>
    <w:unhideWhenUsed/>
    <w:uiPriority w:val="99"/>
    <w:pPr>
      <w:widowControl/>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5">
    <w:name w:val="header"/>
    <w:basedOn w:val="1"/>
    <w:link w:val="8"/>
    <w:unhideWhenUsed/>
    <w:uiPriority w:val="99"/>
    <w:pPr>
      <w:widowControl/>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标题 1 Char"/>
    <w:basedOn w:val="7"/>
    <w:link w:val="2"/>
    <w:uiPriority w:val="1"/>
    <w:rPr>
      <w:rFonts w:ascii="Microsoft JhengHei Light" w:hAnsi="Microsoft JhengHei Light" w:eastAsia="Microsoft JhengHei Light" w:cs="Times New Roman"/>
      <w:kern w:val="0"/>
      <w:sz w:val="24"/>
      <w:szCs w:val="24"/>
      <w:lang w:eastAsia="en-US"/>
    </w:rPr>
  </w:style>
  <w:style w:type="character" w:customStyle="1" w:styleId="11">
    <w:name w:val="正文文本 Char"/>
    <w:basedOn w:val="7"/>
    <w:link w:val="3"/>
    <w:uiPriority w:val="1"/>
    <w:rPr>
      <w:rFonts w:ascii="宋体" w:hAnsi="宋体" w:eastAsia="宋体" w:cs="Times New Roman"/>
      <w:kern w:val="0"/>
      <w:szCs w:val="21"/>
      <w:lang w:eastAsia="en-US"/>
    </w:rPr>
  </w:style>
  <w:style w:type="paragraph" w:customStyle="1" w:styleId="12">
    <w:name w:val="Table Paragraph"/>
    <w:basedOn w:val="1"/>
    <w:qFormat/>
    <w:uiPriority w:val="1"/>
    <w:pPr>
      <w:jc w:val="left"/>
    </w:pPr>
    <w:rPr>
      <w:rFonts w:ascii="Calibri" w:hAnsi="Calibri"/>
      <w:kern w:val="0"/>
      <w:sz w:val="22"/>
      <w:szCs w:val="22"/>
      <w:lang w:eastAsia="en-US"/>
    </w:rPr>
  </w:style>
  <w:style w:type="paragraph" w:customStyle="1" w:styleId="13">
    <w:name w:val="Default"/>
    <w:uiPriority w:val="0"/>
    <w:pPr>
      <w:widowControl w:val="0"/>
      <w:autoSpaceDE w:val="0"/>
      <w:autoSpaceDN w:val="0"/>
      <w:adjustRightInd w:val="0"/>
      <w:spacing w:line="240" w:lineRule="auto"/>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129</Words>
  <Characters>740</Characters>
  <Lines>6</Lines>
  <Paragraphs>1</Paragraphs>
  <TotalTime>3</TotalTime>
  <ScaleCrop>false</ScaleCrop>
  <LinksUpToDate>false</LinksUpToDate>
  <CharactersWithSpaces>868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2016-11-15T02:16:00Z</dcterms:created>
  <dc:creator>LCL</dc:creator>
  <cp:lastModifiedBy>程华松</cp:lastModifiedBy>
  <cp:lastPrinted>2016-11-15T02:16:00Z</cp:lastPrinted>
  <dcterms:modified xsi:type="dcterms:W3CDTF">2022-01-13T06:28:28Z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