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绿动未来</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r>
        <w:t>福建农林大学</w:t>
      </w:r>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2022年01月05日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r>
        <w:t>绿动未来</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r>
        <w:t>福建农林大学</w:t>
      </w:r>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r>
        <w:t>福建省福州市溪源宫路中美小区</w:t>
      </w:r>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r>
        <w:t>350800</w:t>
      </w:r>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r>
        <w:t>福建农林大学</w:t>
      </w:r>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FA1D94" w:rsidRDefault="00FA1D94" w:rsidP="00765092">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