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hint="default" w:ascii="宋体" w:hAnsi="宋体" w:eastAsia="微软雅黑"/>
                <w:szCs w:val="21"/>
                <w:lang w:val="en-US" w:eastAsia="zh-CN"/>
              </w:rPr>
            </w:pPr>
            <w:bookmarkStart w:id="0" w:name="工程名称"/>
            <w:bookmarkEnd w:id="0"/>
            <w:r>
              <w:rPr>
                <w:rFonts w:hint="eastAsia" w:ascii="宋体" w:hAnsi="宋体"/>
                <w:szCs w:val="21"/>
                <w:lang w:val="en-US" w:eastAsia="zh-CN"/>
              </w:rPr>
              <w:t>绿动未来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hint="default" w:ascii="宋体" w:hAnsi="宋体" w:eastAsia="微软雅黑"/>
                <w:szCs w:val="21"/>
                <w:lang w:val="en-US" w:eastAsia="zh-CN"/>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r>
              <w:rPr>
                <w:rFonts w:hint="eastAsia" w:ascii="宋体" w:hAnsi="宋体"/>
                <w:szCs w:val="21"/>
                <w:lang w:val="en-US" w:eastAsia="zh-CN"/>
              </w:rPr>
              <w:t>福建农林大学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hint="default" w:ascii="宋体" w:hAnsi="宋体" w:eastAsia="微软雅黑"/>
                <w:szCs w:val="21"/>
                <w:lang w:val="en-US" w:eastAsia="zh-CN"/>
              </w:rPr>
            </w:pPr>
            <w:r>
              <w:rPr>
                <w:rFonts w:hint="eastAsia" w:ascii="宋体" w:hAnsi="宋体"/>
                <w:szCs w:val="21"/>
                <w:lang w:val="en-US" w:eastAsia="zh-CN"/>
              </w:rPr>
              <w:t>2022.2.28</w:t>
            </w:r>
            <w:bookmarkStart w:id="55" w:name="_GoBack"/>
            <w:bookmarkEnd w:id="55"/>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20201212（SP1）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T13159355271</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_Toc2201 </w:instrText>
      </w:r>
      <w:r>
        <w:rPr>
          <w:rFonts w:ascii="宋体" w:hAnsi="宋体"/>
          <w:caps/>
        </w:rPr>
        <w:fldChar w:fldCharType="separate"/>
      </w:r>
      <w:r>
        <w:rPr>
          <w:rFonts w:hint="eastAsia" w:ascii="Times New Roman" w:hAnsi="Times New Roman"/>
          <w:szCs w:val="28"/>
        </w:rPr>
        <w:t>1</w:t>
      </w:r>
      <w:r>
        <w:rPr>
          <w:rFonts w:ascii="Times New Roman" w:hAnsi="Times New Roman"/>
          <w:szCs w:val="28"/>
        </w:rPr>
        <w:t>.</w:t>
      </w:r>
      <w:r>
        <w:rPr>
          <w:rFonts w:hint="eastAsia" w:ascii="Times New Roman" w:hAnsi="Times New Roman"/>
          <w:szCs w:val="28"/>
        </w:rPr>
        <w:t>项目概况</w:t>
      </w:r>
      <w:r>
        <w:tab/>
      </w:r>
      <w:r>
        <w:fldChar w:fldCharType="begin"/>
      </w:r>
      <w:r>
        <w:instrText xml:space="preserve"> PAGEREF _Toc2201 \h </w:instrText>
      </w:r>
      <w:r>
        <w:fldChar w:fldCharType="separate"/>
      </w:r>
      <w:r>
        <w:t>3</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_Toc7620 </w:instrText>
      </w:r>
      <w:r>
        <w:fldChar w:fldCharType="separate"/>
      </w:r>
      <w:r>
        <w:rPr>
          <w:rFonts w:hint="eastAsia" w:ascii="Times New Roman" w:hAnsi="Times New Roman"/>
          <w:szCs w:val="28"/>
        </w:rPr>
        <w:t>2.评价</w:t>
      </w:r>
      <w:r>
        <w:rPr>
          <w:rFonts w:ascii="Times New Roman" w:hAnsi="Times New Roman"/>
          <w:szCs w:val="28"/>
        </w:rPr>
        <w:t>标准</w:t>
      </w:r>
      <w:r>
        <w:tab/>
      </w:r>
      <w:r>
        <w:fldChar w:fldCharType="begin"/>
      </w:r>
      <w:r>
        <w:instrText xml:space="preserve"> PAGEREF _Toc7620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_Toc22864 </w:instrText>
      </w:r>
      <w:r>
        <w:fldChar w:fldCharType="separate"/>
      </w:r>
      <w:r>
        <w:rPr>
          <w:rFonts w:hint="eastAsia"/>
          <w:szCs w:val="24"/>
        </w:rPr>
        <w:t>2.1评价</w:t>
      </w:r>
      <w:r>
        <w:rPr>
          <w:szCs w:val="24"/>
        </w:rPr>
        <w:t>依据</w:t>
      </w:r>
      <w:r>
        <w:tab/>
      </w:r>
      <w:r>
        <w:fldChar w:fldCharType="begin"/>
      </w:r>
      <w:r>
        <w:instrText xml:space="preserve"> PAGEREF _Toc22864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_Toc14000 </w:instrText>
      </w:r>
      <w:r>
        <w:fldChar w:fldCharType="separate"/>
      </w:r>
      <w:r>
        <w:rPr>
          <w:rFonts w:hint="eastAsia"/>
          <w:szCs w:val="24"/>
        </w:rPr>
        <w:t>2.2标准</w:t>
      </w:r>
      <w:r>
        <w:rPr>
          <w:szCs w:val="24"/>
        </w:rPr>
        <w:t>要求</w:t>
      </w:r>
      <w:r>
        <w:tab/>
      </w:r>
      <w:r>
        <w:fldChar w:fldCharType="begin"/>
      </w:r>
      <w:r>
        <w:instrText xml:space="preserve"> PAGEREF _Toc14000 \h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_Toc10995 </w:instrText>
      </w:r>
      <w:r>
        <w:fldChar w:fldCharType="separate"/>
      </w:r>
      <w:r>
        <w:rPr>
          <w:rFonts w:hint="eastAsia" w:ascii="Times New Roman" w:hAnsi="Times New Roman"/>
          <w:szCs w:val="28"/>
        </w:rPr>
        <w:t>3.模拟</w:t>
      </w:r>
      <w:r>
        <w:rPr>
          <w:rFonts w:ascii="Times New Roman" w:hAnsi="Times New Roman"/>
          <w:szCs w:val="28"/>
        </w:rPr>
        <w:t>方法</w:t>
      </w:r>
      <w:r>
        <w:tab/>
      </w:r>
      <w:r>
        <w:fldChar w:fldCharType="begin"/>
      </w:r>
      <w:r>
        <w:instrText xml:space="preserve"> PAGEREF _Toc10995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_Toc13234 </w:instrText>
      </w:r>
      <w:r>
        <w:fldChar w:fldCharType="separate"/>
      </w:r>
      <w:r>
        <w:rPr>
          <w:rFonts w:hint="eastAsia"/>
          <w:szCs w:val="24"/>
        </w:rPr>
        <w:t>3.1模拟软件</w:t>
      </w:r>
      <w:r>
        <w:tab/>
      </w:r>
      <w:r>
        <w:fldChar w:fldCharType="begin"/>
      </w:r>
      <w:r>
        <w:instrText xml:space="preserve"> PAGEREF _Toc13234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_Toc2256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_Toc2256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_Toc7062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_Toc7062 \h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_Toc19538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_Toc19538 \h </w:instrText>
      </w:r>
      <w:r>
        <w:fldChar w:fldCharType="separate"/>
      </w:r>
      <w:r>
        <w:t>5</w:t>
      </w:r>
      <w:r>
        <w:fldChar w:fldCharType="end"/>
      </w:r>
      <w:r>
        <w:fldChar w:fldCharType="end"/>
      </w:r>
    </w:p>
    <w:p>
      <w:pPr>
        <w:pStyle w:val="12"/>
        <w:tabs>
          <w:tab w:val="right" w:leader="dot" w:pos="9070"/>
          <w:tab w:val="clear" w:pos="180"/>
          <w:tab w:val="clear" w:pos="9360"/>
        </w:tabs>
      </w:pPr>
      <w:r>
        <w:fldChar w:fldCharType="begin"/>
      </w:r>
      <w:r>
        <w:instrText xml:space="preserve"> HYPERLINK \l _Toc24744 </w:instrText>
      </w:r>
      <w:r>
        <w:fldChar w:fldCharType="separate"/>
      </w:r>
      <w:r>
        <w:rPr>
          <w:rFonts w:hint="eastAsia" w:ascii="Times New Roman" w:hAnsi="Times New Roman"/>
          <w:szCs w:val="28"/>
        </w:rPr>
        <w:t>4.模拟结果</w:t>
      </w:r>
      <w:r>
        <w:rPr>
          <w:rFonts w:ascii="Times New Roman" w:hAnsi="Times New Roman"/>
          <w:szCs w:val="28"/>
        </w:rPr>
        <w:t>及分析</w:t>
      </w:r>
      <w:r>
        <w:tab/>
      </w:r>
      <w:r>
        <w:fldChar w:fldCharType="begin"/>
      </w:r>
      <w:r>
        <w:instrText xml:space="preserve"> PAGEREF _Toc24744 \h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_Toc19190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_Toc19190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_Toc1350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_Toc1350 \h </w:instrText>
      </w:r>
      <w:r>
        <w:fldChar w:fldCharType="separate"/>
      </w:r>
      <w:r>
        <w:t>9</w:t>
      </w:r>
      <w:r>
        <w:fldChar w:fldCharType="end"/>
      </w:r>
      <w:r>
        <w:fldChar w:fldCharType="end"/>
      </w:r>
    </w:p>
    <w:p>
      <w:pPr>
        <w:pStyle w:val="12"/>
        <w:tabs>
          <w:tab w:val="right" w:leader="dot" w:pos="9070"/>
          <w:tab w:val="clear" w:pos="180"/>
          <w:tab w:val="clear" w:pos="9360"/>
        </w:tabs>
      </w:pPr>
      <w:r>
        <w:fldChar w:fldCharType="begin"/>
      </w:r>
      <w:r>
        <w:instrText xml:space="preserve"> HYPERLINK \l _Toc23833 </w:instrText>
      </w:r>
      <w:r>
        <w:fldChar w:fldCharType="separate"/>
      </w:r>
      <w:r>
        <w:rPr>
          <w:rFonts w:hint="eastAsia" w:ascii="Times New Roman" w:hAnsi="Times New Roman"/>
          <w:szCs w:val="28"/>
        </w:rPr>
        <w:t>5.结论</w:t>
      </w:r>
      <w:r>
        <w:tab/>
      </w:r>
      <w:r>
        <w:fldChar w:fldCharType="begin"/>
      </w:r>
      <w:r>
        <w:instrText xml:space="preserve"> PAGEREF _Toc23833 \h </w:instrText>
      </w:r>
      <w:r>
        <w:fldChar w:fldCharType="separate"/>
      </w:r>
      <w:r>
        <w:t>10</w:t>
      </w:r>
      <w:r>
        <w:fldChar w:fldCharType="end"/>
      </w:r>
      <w:r>
        <w:fldChar w:fldCharType="end"/>
      </w:r>
    </w:p>
    <w:p>
      <w:pPr>
        <w:pStyle w:val="12"/>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2201"/>
      <w:bookmarkStart w:id="10" w:name="_Toc479326717"/>
      <w:r>
        <w:rPr>
          <w:rFonts w:hint="eastAsia" w:ascii="Times New Roman" w:hAnsi="Times New Roman"/>
          <w:sz w:val="28"/>
          <w:szCs w:val="28"/>
        </w:rPr>
        <w:t>1</w:t>
      </w:r>
      <w:r>
        <w:rPr>
          <w:rFonts w:ascii="Times New Roman" w:hAnsi="Times New Roman"/>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rFonts w:ascii="黑体" w:hAnsi="黑体" w:eastAsia="黑体"/>
          <w:kern w:val="0"/>
          <w:szCs w:val="20"/>
        </w:rPr>
      </w:pPr>
      <w:r>
        <w:rPr>
          <w:rFonts w:hint="eastAsia" w:ascii="黑体" w:hAnsi="黑体" w:eastAsia="黑体"/>
          <w:kern w:val="0"/>
          <w:szCs w:val="20"/>
        </w:rPr>
        <w:t>表1 参评</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名称</w:t>
            </w:r>
          </w:p>
        </w:tc>
        <w:tc>
          <w:tcPr>
            <w:shd w:val="clear" w:color="auto" w:fill="E6E6E6"/>
            <w:vAlign w:val="center"/>
          </w:tcPr>
          <w:p>
            <w:pPr>
              <w:jc w:val="center"/>
            </w:pPr>
            <w:r>
              <w:rPr>
                <w:b/>
              </w:rPr>
              <w:t>建筑高度(米)</w:t>
            </w:r>
          </w:p>
        </w:tc>
        <w:tc>
          <w:tcPr>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7620"/>
      <w:bookmarkStart w:id="13" w:name="_Toc479326718"/>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22864"/>
      <w:bookmarkStart w:id="15" w:name="_Toc479326719"/>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sz w:val="21"/>
          <w:szCs w:val="21"/>
        </w:rPr>
      </w:pPr>
      <w:bookmarkStart w:id="16" w:name="_Hlk13924517"/>
      <w:bookmarkStart w:id="17" w:name="_Toc479326720"/>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6"/>
      <w:r>
        <w:rPr>
          <w:sz w:val="21"/>
          <w:szCs w:val="21"/>
        </w:rPr>
        <w:t xml:space="preserve"> </w:t>
      </w:r>
    </w:p>
    <w:p>
      <w:pPr>
        <w:pStyle w:val="33"/>
        <w:numPr>
          <w:ilvl w:val="0"/>
          <w:numId w:val="1"/>
        </w:numPr>
        <w:spacing w:line="276" w:lineRule="auto"/>
        <w:ind w:firstLineChars="0"/>
        <w:rPr>
          <w:sz w:val="21"/>
          <w:szCs w:val="21"/>
        </w:rPr>
      </w:pPr>
      <w:r>
        <w:rPr>
          <w:rFonts w:hint="eastAsia"/>
          <w:sz w:val="21"/>
          <w:szCs w:val="21"/>
        </w:rPr>
        <w:t>《绿色建筑评价</w:t>
      </w:r>
      <w:r>
        <w:rPr>
          <w:sz w:val="21"/>
          <w:szCs w:val="21"/>
        </w:rPr>
        <w:t>技术细则</w:t>
      </w:r>
      <w:r>
        <w:rPr>
          <w:rFonts w:hint="eastAsia"/>
          <w:sz w:val="21"/>
          <w:szCs w:val="21"/>
        </w:rPr>
        <w:t>》</w:t>
      </w:r>
    </w:p>
    <w:p>
      <w:pPr>
        <w:pStyle w:val="33"/>
        <w:numPr>
          <w:ilvl w:val="0"/>
          <w:numId w:val="1"/>
        </w:numPr>
        <w:spacing w:line="276" w:lineRule="auto"/>
        <w:ind w:firstLineChars="0"/>
        <w:rPr>
          <w:sz w:val="21"/>
          <w:szCs w:val="21"/>
        </w:rPr>
      </w:pPr>
      <w:r>
        <w:rPr>
          <w:rFonts w:hint="eastAsia"/>
          <w:sz w:val="21"/>
          <w:szCs w:val="21"/>
        </w:rPr>
        <w:t>《声环境质量标准》</w:t>
      </w:r>
      <w:r>
        <w:rPr>
          <w:sz w:val="21"/>
          <w:szCs w:val="21"/>
        </w:rPr>
        <w:t xml:space="preserve">GB 3096-2008 </w:t>
      </w:r>
    </w:p>
    <w:p>
      <w:pPr>
        <w:pStyle w:val="33"/>
        <w:numPr>
          <w:ilvl w:val="0"/>
          <w:numId w:val="1"/>
        </w:numPr>
        <w:spacing w:line="276" w:lineRule="auto"/>
        <w:ind w:firstLineChars="0"/>
        <w:rPr>
          <w:sz w:val="21"/>
          <w:szCs w:val="21"/>
        </w:rPr>
      </w:pP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numPr>
          <w:ilvl w:val="0"/>
          <w:numId w:val="1"/>
        </w:numPr>
        <w:spacing w:line="276" w:lineRule="auto"/>
        <w:ind w:firstLineChars="0"/>
        <w:rPr>
          <w:sz w:val="21"/>
          <w:szCs w:val="21"/>
        </w:rPr>
      </w:pPr>
      <w:r>
        <w:rPr>
          <w:rFonts w:hint="eastAsia"/>
          <w:sz w:val="21"/>
          <w:szCs w:val="21"/>
        </w:rPr>
        <w:t>《声环境功能区划分技术规范》</w:t>
      </w:r>
      <w:r>
        <w:rPr>
          <w:sz w:val="21"/>
          <w:szCs w:val="21"/>
        </w:rPr>
        <w:t>GB/T15190-2014</w:t>
      </w:r>
    </w:p>
    <w:p>
      <w:pPr>
        <w:pStyle w:val="33"/>
        <w:numPr>
          <w:ilvl w:val="0"/>
          <w:numId w:val="1"/>
        </w:numPr>
        <w:spacing w:line="276" w:lineRule="auto"/>
        <w:ind w:firstLineChars="0"/>
        <w:rPr>
          <w:sz w:val="21"/>
          <w:szCs w:val="21"/>
        </w:rPr>
      </w:pP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numPr>
          <w:ilvl w:val="0"/>
          <w:numId w:val="1"/>
        </w:numPr>
        <w:spacing w:line="276" w:lineRule="auto"/>
        <w:ind w:firstLineChars="0"/>
        <w:rPr>
          <w:sz w:val="21"/>
          <w:szCs w:val="21"/>
        </w:rPr>
      </w:pPr>
      <w:r>
        <w:rPr>
          <w:rFonts w:hint="eastAsia"/>
          <w:sz w:val="21"/>
          <w:szCs w:val="21"/>
        </w:rPr>
        <w:t>建筑设计图纸相关文件</w:t>
      </w:r>
    </w:p>
    <w:p>
      <w:pPr>
        <w:pStyle w:val="3"/>
        <w:rPr>
          <w:sz w:val="24"/>
          <w:szCs w:val="24"/>
        </w:rPr>
      </w:pPr>
      <w:bookmarkStart w:id="18" w:name="_Toc14000"/>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50378-2019</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3096-2008</w:t>
      </w:r>
      <w:r>
        <w:rPr>
          <w:rFonts w:hint="eastAsia"/>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2"/>
        <w:rPr>
          <w:rFonts w:ascii="Times New Roman" w:hAnsi="Times New Roman"/>
          <w:sz w:val="28"/>
          <w:szCs w:val="28"/>
        </w:rPr>
      </w:pPr>
      <w:bookmarkStart w:id="19" w:name="声功能区类别表格"/>
      <w:bookmarkEnd w:id="19"/>
      <w:bookmarkStart w:id="20" w:name="_Toc479326721"/>
      <w:bookmarkStart w:id="21" w:name="_Toc10995"/>
      <w:r>
        <w:rPr>
          <w:rFonts w:hint="eastAsia" w:ascii="Times New Roman" w:hAnsi="Times New Roman"/>
          <w:sz w:val="28"/>
          <w:szCs w:val="28"/>
        </w:rPr>
        <w:t>3.模拟</w:t>
      </w:r>
      <w:r>
        <w:rPr>
          <w:rFonts w:ascii="Times New Roman" w:hAnsi="Times New Roman"/>
          <w:sz w:val="28"/>
          <w:szCs w:val="28"/>
        </w:rPr>
        <w:t>方法</w:t>
      </w:r>
      <w:bookmarkEnd w:id="20"/>
      <w:bookmarkEnd w:id="21"/>
    </w:p>
    <w:p>
      <w:pPr>
        <w:pStyle w:val="3"/>
        <w:rPr>
          <w:sz w:val="24"/>
          <w:szCs w:val="24"/>
        </w:rPr>
      </w:pPr>
      <w:bookmarkStart w:id="22" w:name="_Toc479326722"/>
      <w:bookmarkStart w:id="23" w:name="_Toc13234"/>
      <w:r>
        <w:rPr>
          <w:rFonts w:hint="eastAsia"/>
          <w:sz w:val="24"/>
          <w:szCs w:val="24"/>
        </w:rPr>
        <w:t>3.1模拟软件</w:t>
      </w:r>
      <w:bookmarkEnd w:id="22"/>
      <w:bookmarkEnd w:id="23"/>
    </w:p>
    <w:p>
      <w:pPr>
        <w:pStyle w:val="33"/>
        <w:spacing w:line="276" w:lineRule="auto"/>
        <w:ind w:firstLine="420"/>
        <w:rPr>
          <w:rFonts w:cs="Times New Roman"/>
          <w:sz w:val="21"/>
          <w:szCs w:val="21"/>
        </w:rPr>
      </w:pPr>
      <w:bookmarkStart w:id="24"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14"/>
          <w:kern w:val="0"/>
          <w:sz w:val="21"/>
          <w:szCs w:val="21"/>
          <w:fitText w:val="294" w:id="1672124160"/>
        </w:rPr>
        <w:t>》</w:t>
      </w:r>
      <w:r>
        <w:rPr>
          <w:rFonts w:cs="Times New Roman"/>
          <w:spacing w:val="0"/>
          <w:kern w:val="0"/>
          <w:sz w:val="21"/>
          <w:szCs w:val="21"/>
          <w:fitText w:val="294" w:id="167212416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5" w:name="_Toc2256"/>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szCs w:val="21"/>
        </w:rPr>
      </w:pP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7" w:name="_Toc479326725"/>
      <w:bookmarkStart w:id="28" w:name="_Toc7062"/>
      <w:r>
        <w:rPr>
          <w:rFonts w:hint="eastAsia"/>
          <w:sz w:val="24"/>
          <w:szCs w:val="24"/>
        </w:rPr>
        <w:t>3.</w:t>
      </w:r>
      <w:r>
        <w:rPr>
          <w:sz w:val="24"/>
          <w:szCs w:val="24"/>
        </w:rPr>
        <w:t>3</w:t>
      </w:r>
      <w:r>
        <w:rPr>
          <w:rFonts w:hint="eastAsia"/>
          <w:sz w:val="24"/>
          <w:szCs w:val="24"/>
        </w:rPr>
        <w:t>计算条件</w:t>
      </w:r>
      <w:bookmarkEnd w:id="27"/>
      <w:bookmarkEnd w:id="28"/>
    </w:p>
    <w:p>
      <w:pPr>
        <w:rPr>
          <w:b/>
        </w:rPr>
      </w:pPr>
      <w:bookmarkStart w:id="29" w:name="计算条件"/>
      <w:r>
        <w:rPr>
          <w:rFonts w:hint="eastAsia"/>
          <w:b/>
        </w:rPr>
        <w:t>■ 网格设置</w:t>
      </w:r>
    </w:p>
    <w:p>
      <w:pPr>
        <w:rPr>
          <w:b/>
        </w:rPr>
      </w:pPr>
      <w:r>
        <w:rPr>
          <w:b/>
          <w:color w:val="000000"/>
        </w:rPr>
        <w:t xml:space="preserve">  平面网格间距：20×20 米</w:t>
      </w:r>
    </w:p>
    <w:p>
      <w:pPr>
        <w:rPr>
          <w:b/>
        </w:rPr>
      </w:pPr>
      <w:r>
        <w:rPr>
          <w:b/>
          <w:color w:val="000000"/>
        </w:rPr>
        <w:t xml:space="preserve">  平面网格离地高度：1.5 米</w:t>
      </w:r>
    </w:p>
    <w:p>
      <w:pPr>
        <w:rPr>
          <w:b/>
        </w:rPr>
      </w:pPr>
      <w:r>
        <w:rPr>
          <w:b/>
          <w:color w:val="000000"/>
        </w:rPr>
        <w:t xml:space="preserve">  立面网格间距：3×3 米</w:t>
      </w:r>
    </w:p>
    <w:p>
      <w:pPr>
        <w:rPr>
          <w:b/>
        </w:rPr>
      </w:pPr>
    </w:p>
    <w:p>
      <w:pPr>
        <w:rPr>
          <w:b/>
        </w:rPr>
      </w:pPr>
      <w:r>
        <w:rPr>
          <w:b/>
          <w:color w:val="000000"/>
        </w:rPr>
        <w:t>■ 地面效应</w:t>
      </w:r>
    </w:p>
    <w:p>
      <w:pPr>
        <w:rPr>
          <w:b/>
        </w:rPr>
      </w:pPr>
      <w:r>
        <w:rPr>
          <w:b/>
          <w:color w:val="000000"/>
        </w:rPr>
        <w:t xml:space="preserve">  地面高度：0 米</w:t>
      </w:r>
    </w:p>
    <w:p>
      <w:pPr>
        <w:rPr>
          <w:b/>
        </w:rPr>
      </w:pPr>
      <w:r>
        <w:rPr>
          <w:b/>
          <w:color w:val="000000"/>
        </w:rPr>
        <w:t xml:space="preserve">  计算考虑地面效应</w:t>
      </w:r>
    </w:p>
    <w:p>
      <w:pPr>
        <w:rPr>
          <w:b/>
        </w:rPr>
      </w:pPr>
      <w:r>
        <w:rPr>
          <w:b/>
          <w:color w:val="000000"/>
        </w:rPr>
        <w:t xml:space="preserve">  地面效应计算方法：导则算法</w:t>
      </w:r>
    </w:p>
    <w:p>
      <w:pPr>
        <w:rPr>
          <w:b/>
        </w:rPr>
      </w:pPr>
    </w:p>
    <w:p>
      <w:pPr>
        <w:rPr>
          <w:b/>
        </w:rPr>
      </w:pPr>
      <w:r>
        <w:rPr>
          <w:b/>
          <w:color w:val="000000"/>
        </w:rPr>
        <w:t>■ 噪声反射</w:t>
      </w:r>
    </w:p>
    <w:p>
      <w:pPr>
        <w:rPr>
          <w:b/>
        </w:rPr>
      </w:pPr>
      <w:r>
        <w:rPr>
          <w:b/>
          <w:color w:val="000000"/>
        </w:rPr>
        <w:t xml:space="preserve">  障碍物考虑的最大反射次数：1</w:t>
      </w:r>
    </w:p>
    <w:p>
      <w:pPr>
        <w:rPr>
          <w:b/>
        </w:rPr>
      </w:pPr>
    </w:p>
    <w:p>
      <w:pPr>
        <w:rPr>
          <w:b/>
        </w:rPr>
      </w:pPr>
      <w:r>
        <w:rPr>
          <w:b/>
          <w:color w:val="000000"/>
        </w:rPr>
        <w:t>■ 空气吸收</w:t>
      </w:r>
    </w:p>
    <w:p>
      <w:pPr>
        <w:rPr>
          <w:b/>
        </w:rPr>
      </w:pPr>
      <w:r>
        <w:rPr>
          <w:b/>
          <w:color w:val="000000"/>
        </w:rPr>
        <w:t xml:space="preserve">  气压：101325Pa  气温：16℃  湿度：50%</w:t>
      </w:r>
    </w:p>
    <w:p>
      <w:pPr>
        <w:rPr>
          <w:b/>
        </w:rPr>
      </w:pPr>
    </w:p>
    <w:p>
      <w:pPr>
        <w:rPr>
          <w:b/>
        </w:rPr>
      </w:pPr>
      <w:r>
        <w:rPr>
          <w:b/>
          <w:color w:val="000000"/>
        </w:rPr>
        <w:t>■ 达标统计</w:t>
      </w:r>
    </w:p>
    <w:p>
      <w:pPr>
        <w:rPr>
          <w:b/>
        </w:rPr>
      </w:pPr>
      <w:r>
        <w:rPr>
          <w:b/>
          <w:color w:val="000000"/>
        </w:rPr>
        <w:t xml:space="preserve">  建筑物噪声最大值统计方式</w:t>
      </w:r>
    </w:p>
    <w:p>
      <w:pPr>
        <w:rPr>
          <w:b/>
        </w:rPr>
      </w:pPr>
      <w:r>
        <w:rPr>
          <w:b/>
          <w:color w:val="000000"/>
        </w:rPr>
        <w:t xml:space="preserve">    取距离建筑物底标高1.5米沿线点</w:t>
      </w:r>
    </w:p>
    <w:p>
      <w:pPr>
        <w:rPr>
          <w:b/>
        </w:rPr>
      </w:pPr>
      <w:r>
        <w:rPr>
          <w:b/>
          <w:color w:val="000000"/>
        </w:rPr>
        <w:t xml:space="preserve">  场地环境噪声达标统计方式</w:t>
      </w:r>
    </w:p>
    <w:p>
      <w:pPr>
        <w:rPr>
          <w:b/>
        </w:rPr>
      </w:pPr>
      <w:r>
        <w:rPr>
          <w:b/>
          <w:color w:val="000000"/>
        </w:rPr>
        <w:t xml:space="preserve">    场地内命名参评建筑物全部达标</w:t>
      </w:r>
    </w:p>
    <w:bookmarkEnd w:id="29"/>
    <w:p>
      <w:pPr>
        <w:pStyle w:val="3"/>
        <w:rPr>
          <w:sz w:val="24"/>
          <w:szCs w:val="24"/>
        </w:rPr>
      </w:pPr>
      <w:bookmarkStart w:id="30" w:name="_Toc479326726"/>
      <w:bookmarkStart w:id="31" w:name="_Toc19538"/>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2" w:name="声源表"/>
      <w:bookmarkEnd w:id="32"/>
    </w:p>
    <w:p/>
    <w:p>
      <w:pPr>
        <w:pStyle w:val="2"/>
        <w:spacing w:line="400" w:lineRule="exact"/>
        <w:rPr>
          <w:rFonts w:ascii="Times New Roman" w:hAnsi="Times New Roman"/>
          <w:sz w:val="28"/>
          <w:szCs w:val="28"/>
        </w:rPr>
      </w:pPr>
      <w:bookmarkStart w:id="33" w:name="_Toc479326727"/>
      <w:bookmarkStart w:id="34" w:name="_Toc24744"/>
      <w:r>
        <w:rPr>
          <w:rFonts w:hint="eastAsia" w:ascii="Times New Roman" w:hAnsi="Times New Roman"/>
          <w:sz w:val="28"/>
          <w:szCs w:val="28"/>
        </w:rPr>
        <w:t>4.模拟结果</w:t>
      </w:r>
      <w:r>
        <w:rPr>
          <w:rFonts w:ascii="Times New Roman" w:hAnsi="Times New Roman"/>
          <w:sz w:val="28"/>
          <w:szCs w:val="28"/>
        </w:rPr>
        <w:t>及分析</w:t>
      </w:r>
      <w:bookmarkEnd w:id="33"/>
      <w:bookmarkEnd w:id="34"/>
      <w:r>
        <w:rPr>
          <w:rFonts w:hint="eastAsia" w:ascii="Times New Roman" w:hAnsi="Times New Roman"/>
          <w:sz w:val="28"/>
          <w:szCs w:val="28"/>
        </w:rPr>
        <w:t xml:space="preserve"> </w:t>
      </w:r>
    </w:p>
    <w:p>
      <w:pPr>
        <w:ind w:firstLine="420" w:firstLineChars="200"/>
      </w:pPr>
      <w:bookmarkStart w:id="35" w:name="_Toc479326728"/>
      <w:r>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19190"/>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7" w:name="场地分布图昼"/>
      <w:bookmarkEnd w:id="37"/>
      <w:r>
        <w:drawing>
          <wp:inline distT="0" distB="0" distL="0" distR="0">
            <wp:extent cx="5667375" cy="50863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9"/>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38" w:name="场地分布图夜"/>
      <w:bookmarkEnd w:id="38"/>
      <w:r>
        <w:drawing>
          <wp:inline distT="0" distB="0" distL="0" distR="0">
            <wp:extent cx="5667375" cy="50863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0"/>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39" w:name="场地噪声分布俯瞰昼"/>
      <w:bookmarkEnd w:id="39"/>
      <w:r>
        <w:drawing>
          <wp:inline distT="0" distB="0" distL="0" distR="0">
            <wp:extent cx="5667375" cy="50863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0" w:name="场地噪声分布俯瞰夜"/>
      <w:bookmarkEnd w:id="40"/>
      <w:r>
        <w:drawing>
          <wp:inline distT="0" distB="0" distL="0" distR="0">
            <wp:extent cx="5667375" cy="5086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1350"/>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3" w:name="建筑附近声压分布图昼"/>
      <w:bookmarkEnd w:id="43"/>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4" w:name="建筑附近声压分布图夜"/>
      <w:bookmarkEnd w:id="44"/>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3"/>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5" w:name="建筑附近声压分布鸟瞰图昼"/>
    </w:p>
    <w:bookmarkEnd w:id="45"/>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6" w:name="建筑附近声压分布鸟瞰图夜"/>
      <w:bookmarkEnd w:id="46"/>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widowControl/>
        <w:spacing w:line="276" w:lineRule="auto"/>
        <w:ind w:firstLine="420"/>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p>
      <w:pPr>
        <w:widowControl/>
        <w:jc w:val="center"/>
        <w:rPr>
          <w:rFonts w:ascii="Times New Roman" w:hAnsi="Times New Roman"/>
          <w:szCs w:val="21"/>
        </w:rPr>
      </w:pPr>
      <w:bookmarkStart w:id="47" w:name="建筑物噪声最大值统计表格"/>
      <w:bookmarkEnd w:id="47"/>
    </w:p>
    <w:p>
      <w:pPr>
        <w:pStyle w:val="2"/>
        <w:rPr>
          <w:rFonts w:ascii="Times New Roman" w:hAnsi="Times New Roman"/>
          <w:sz w:val="28"/>
          <w:szCs w:val="28"/>
        </w:rPr>
      </w:pPr>
      <w:bookmarkStart w:id="48" w:name="_Toc23833"/>
      <w:bookmarkStart w:id="49" w:name="_Toc479326730"/>
      <w:r>
        <w:rPr>
          <w:rFonts w:hint="eastAsia" w:ascii="Times New Roman" w:hAnsi="Times New Roman"/>
          <w:sz w:val="28"/>
          <w:szCs w:val="28"/>
        </w:rPr>
        <w:t>5.结论</w:t>
      </w:r>
      <w:bookmarkEnd w:id="48"/>
      <w:bookmarkEnd w:id="49"/>
    </w:p>
    <w:p>
      <w:pPr>
        <w:ind w:firstLine="420" w:firstLineChars="200"/>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w:t>
      </w:r>
      <w:r>
        <w:rPr>
          <w:rFonts w:hint="eastAsia"/>
        </w:rPr>
        <w:t>环境噪声值大于2类声环境功能区标准限值，且小于或等于3类声环境功能区标准限值，得5分。环境噪声值小于或等于2类声环境功能区标准限值，得10分。</w:t>
      </w:r>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pPr>
            <w:bookmarkStart w:id="50" w:name="昼间噪声最大值"/>
            <w:r>
              <w:rPr>
                <w:bCs/>
              </w:rPr>
              <w:t>-99</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pPr>
            <w:bookmarkStart w:id="51" w:name="得分情况"/>
            <w:r>
              <w:t>10</w:t>
            </w:r>
            <w:bookmarkEnd w:id="51"/>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
              </w:rPr>
            </w:pPr>
            <w:bookmarkStart w:id="52" w:name="夜间噪声最大值"/>
            <w:r>
              <w:rPr>
                <w:bCs/>
              </w:rPr>
              <w:t>-99</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color w:val="0000FF"/>
        <w:kern w:val="0"/>
        <w:sz w:val="21"/>
        <w:szCs w:val="20"/>
        <w:lang w:val="en-GB"/>
      </w:rPr>
      <w:t>http://www.gbsware.cn/</w:t>
    </w:r>
    <w:r>
      <w:rPr>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2BF66CA3"/>
    <w:rsid w:val="72B03D6C"/>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2"/>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qFormat/>
    <w:uiPriority w:val="99"/>
  </w:style>
  <w:style w:type="paragraph" w:styleId="8">
    <w:name w:val="toc 3"/>
    <w:basedOn w:val="1"/>
    <w:next w:val="1"/>
    <w:semiHidden/>
    <w:qFormat/>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Char"/>
    <w:link w:val="11"/>
    <w:uiPriority w:val="99"/>
    <w:rPr>
      <w:sz w:val="18"/>
      <w:szCs w:val="18"/>
    </w:rPr>
  </w:style>
  <w:style w:type="character" w:customStyle="1" w:styleId="22">
    <w:name w:val="页脚 Char"/>
    <w:link w:val="10"/>
    <w:uiPriority w:val="99"/>
    <w:rPr>
      <w:sz w:val="18"/>
      <w:szCs w:val="18"/>
    </w:rPr>
  </w:style>
  <w:style w:type="character" w:customStyle="1" w:styleId="23">
    <w:name w:val="标题 1 Char"/>
    <w:link w:val="2"/>
    <w:uiPriority w:val="9"/>
    <w:rPr>
      <w:rFonts w:ascii="微软雅黑" w:hAnsi="微软雅黑" w:eastAsia="微软雅黑" w:cs="微软雅黑"/>
      <w:b/>
      <w:bCs/>
      <w:kern w:val="44"/>
      <w:sz w:val="44"/>
      <w:szCs w:val="44"/>
    </w:rPr>
  </w:style>
  <w:style w:type="character" w:customStyle="1" w:styleId="24">
    <w:name w:val="标题 2 Char"/>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Char"/>
    <w:link w:val="4"/>
    <w:uiPriority w:val="9"/>
    <w:rPr>
      <w:b/>
      <w:bCs/>
      <w:sz w:val="32"/>
      <w:szCs w:val="32"/>
    </w:rPr>
  </w:style>
  <w:style w:type="character" w:customStyle="1" w:styleId="27">
    <w:name w:val="标题 4 Char"/>
    <w:link w:val="5"/>
    <w:qFormat/>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Char"/>
    <w:link w:val="6"/>
    <w:uiPriority w:val="9"/>
    <w:rPr>
      <w:b/>
      <w:bCs/>
      <w:sz w:val="28"/>
      <w:szCs w:val="28"/>
    </w:rPr>
  </w:style>
  <w:style w:type="character" w:customStyle="1" w:styleId="30">
    <w:name w:val="批注文字 Char"/>
    <w:basedOn w:val="17"/>
    <w:link w:val="7"/>
    <w:semiHidden/>
    <w:uiPriority w:val="99"/>
  </w:style>
  <w:style w:type="character" w:customStyle="1" w:styleId="31">
    <w:name w:val="批注主题 Char"/>
    <w:link w:val="14"/>
    <w:semiHidden/>
    <w:uiPriority w:val="99"/>
    <w:rPr>
      <w:b/>
      <w:bCs/>
    </w:rPr>
  </w:style>
  <w:style w:type="character" w:customStyle="1" w:styleId="32">
    <w:name w:val="批注框文本 Char"/>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jpe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BC1-3C4B-4D77-AB80-129C5E715F3E}">
  <ds:schemaRefs/>
</ds:datastoreItem>
</file>

<file path=docProps/app.xml><?xml version="1.0" encoding="utf-8"?>
<Properties xmlns="http://schemas.openxmlformats.org/officeDocument/2006/extended-properties" xmlns:vt="http://schemas.openxmlformats.org/officeDocument/2006/docPropsVTypes">
  <Template>建筑室外声环境模拟报告书.dotx</Template>
  <Company>北京绿建软件有限公司</Company>
  <Pages>6</Pages>
  <Words>595</Words>
  <Characters>3395</Characters>
  <Lines>28</Lines>
  <Paragraphs>7</Paragraphs>
  <TotalTime>1</TotalTime>
  <ScaleCrop>false</ScaleCrop>
  <LinksUpToDate>false</LinksUpToDate>
  <CharactersWithSpaces>3983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2020-11-26T09:44:00Z</dcterms:created>
  <dc:creator>jinj</dc:creator>
  <cp:lastModifiedBy>kk</cp:lastModifiedBy>
  <cp:lastPrinted>2016-08-03T02:42:00Z</cp:lastPrinted>
  <dcterms:modified xsi:type="dcterms:W3CDTF">2022-02-28T14:10:08Z</dcterms:modified>
  <dc:title>绿动未来室外噪声分析报告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853816E7A7E64CD1BCABAD6CE55A4C6D</vt:lpwstr>
  </property>
</Properties>
</file>